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ascii="方正小标宋_GBK" w:hAnsi="宋体" w:eastAsia="方正小标宋_GBK"/>
          <w:color w:val="000000"/>
          <w:spacing w:val="-10"/>
          <w:szCs w:val="44"/>
        </w:rPr>
      </w:pPr>
      <w:bookmarkStart w:id="0" w:name="_GoBack"/>
      <w:bookmarkEnd w:id="0"/>
      <w:r>
        <w:drawing>
          <wp:anchor distT="0" distB="0" distL="114300" distR="114300" simplePos="0" relativeHeight="251659264" behindDoc="1" locked="0" layoutInCell="1" allowOverlap="1">
            <wp:simplePos x="0" y="0"/>
            <wp:positionH relativeFrom="page">
              <wp:posOffset>0</wp:posOffset>
            </wp:positionH>
            <wp:positionV relativeFrom="paragraph">
              <wp:posOffset>-923925</wp:posOffset>
            </wp:positionV>
            <wp:extent cx="7560310" cy="3727450"/>
            <wp:effectExtent l="0" t="0" r="2540" b="6350"/>
            <wp:wrapNone/>
            <wp:docPr id="2"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温州理工学院文件"/>
                    <pic:cNvPicPr>
                      <a:picLocks noChangeAspect="1"/>
                    </pic:cNvPicPr>
                  </pic:nvPicPr>
                  <pic:blipFill>
                    <a:blip r:embed="rId7"/>
                    <a:stretch>
                      <a:fillRect/>
                    </a:stretch>
                  </pic:blipFill>
                  <pic:spPr>
                    <a:xfrm>
                      <a:off x="0" y="0"/>
                      <a:ext cx="7560310" cy="3727450"/>
                    </a:xfrm>
                    <a:prstGeom prst="rect">
                      <a:avLst/>
                    </a:prstGeom>
                    <a:noFill/>
                    <a:ln>
                      <a:noFill/>
                    </a:ln>
                  </pic:spPr>
                </pic:pic>
              </a:graphicData>
            </a:graphic>
          </wp:anchor>
        </w:drawing>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p>
    <w:p>
      <w:pPr>
        <w:pStyle w:val="3"/>
        <w:keepNext w:val="0"/>
        <w:keepLines w:val="0"/>
        <w:pageBreakBefore w:val="0"/>
        <w:widowControl w:val="0"/>
        <w:kinsoku/>
        <w:wordWrap/>
        <w:overflowPunct/>
        <w:topLinePunct w:val="0"/>
        <w:bidi w:val="0"/>
        <w:snapToGrid/>
        <w:spacing w:line="560" w:lineRule="exact"/>
        <w:textAlignment w:val="auto"/>
        <w:rPr>
          <w:rFonts w:ascii="方正小标宋_GBK" w:hAnsi="宋体" w:eastAsia="方正小标宋_GBK"/>
          <w:color w:val="000000"/>
          <w:spacing w:val="-10"/>
          <w:szCs w:val="44"/>
        </w:rPr>
      </w:pP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w:t>
      </w:r>
      <w:r>
        <w:rPr>
          <w:rFonts w:hint="eastAsia" w:ascii="仿宋_GB2312" w:hAnsi="宋体" w:eastAsia="仿宋_GB2312"/>
          <w:sz w:val="32"/>
          <w:lang w:val="en-US" w:eastAsia="zh-CN"/>
        </w:rPr>
        <w:t>2</w:t>
      </w:r>
      <w:r>
        <w:rPr>
          <w:rFonts w:ascii="仿宋_GB2312" w:hAnsi="宋体" w:eastAsia="仿宋_GB2312"/>
          <w:sz w:val="32"/>
        </w:rPr>
        <w:t>〕</w:t>
      </w:r>
      <w:r>
        <w:rPr>
          <w:rFonts w:hint="eastAsia" w:ascii="仿宋_GB2312" w:hAnsi="宋体" w:eastAsia="仿宋_GB2312"/>
          <w:sz w:val="32"/>
          <w:lang w:val="en-US" w:eastAsia="zh-CN"/>
        </w:rPr>
        <w:t>5</w:t>
      </w:r>
      <w:r>
        <w:rPr>
          <w:rFonts w:hint="eastAsia" w:ascii="仿宋_GB2312" w:hAnsi="宋体" w:eastAsia="仿宋_GB2312"/>
          <w:sz w:val="32"/>
        </w:rPr>
        <w:t>号</w:t>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_GBK" w:hAnsi="宋体" w:eastAsia="方正小标宋_GBK"/>
          <w:color w:val="000000"/>
          <w:spacing w:val="-11"/>
          <w:w w:val="100"/>
          <w:sz w:val="44"/>
          <w:szCs w:val="44"/>
        </w:rPr>
      </w:pPr>
      <w:r>
        <w:rPr>
          <w:rFonts w:hint="eastAsia" w:ascii="方正小标宋_GBK" w:hAnsi="宋体" w:eastAsia="方正小标宋_GBK"/>
          <w:color w:val="000000"/>
          <w:spacing w:val="-11"/>
          <w:w w:val="100"/>
          <w:sz w:val="44"/>
          <w:szCs w:val="44"/>
        </w:rPr>
        <w:t>关于印发《温州理工学院教学建设与研究业绩计分及奖励办法（试行）》的通知</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仿宋_GB2312" w:hAnsi="宋体" w:eastAsia="仿宋_GB2312"/>
          <w:sz w:val="32"/>
          <w:szCs w:val="32"/>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经2022年1月9日第18次校长办公会审议通过，现将《温州理工学院教学建设与研究业绩计分及奖励办法（试行）》印发给你们，请遵照执行</w:t>
      </w:r>
      <w:r>
        <w:rPr>
          <w:rFonts w:hint="eastAsia" w:ascii="仿宋_GB2312" w:eastAsia="仿宋_GB2312" w:hAnsiTheme="minorEastAsia"/>
          <w:color w:val="auto"/>
          <w:sz w:val="32"/>
          <w:szCs w:val="32"/>
        </w:rPr>
        <w:t>。</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ascii="仿宋_GB2312" w:hAnsi="宋体" w:eastAsia="仿宋_GB2312"/>
          <w:sz w:val="32"/>
          <w:szCs w:val="32"/>
        </w:rPr>
        <w:br w:type="textWrapping"/>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3</w:t>
      </w:r>
      <w:r>
        <w:rPr>
          <w:rFonts w:hint="eastAsia" w:ascii="仿宋_GB2312" w:eastAsia="仿宋_GB2312"/>
          <w:sz w:val="32"/>
          <w:szCs w:val="28"/>
        </w:rPr>
        <w:t>月</w:t>
      </w:r>
      <w:r>
        <w:rPr>
          <w:rFonts w:hint="eastAsia" w:ascii="仿宋_GB2312" w:eastAsia="仿宋_GB2312"/>
          <w:sz w:val="32"/>
          <w:szCs w:val="28"/>
          <w:lang w:val="en-US" w:eastAsia="zh-CN"/>
        </w:rPr>
        <w:t>9</w:t>
      </w:r>
      <w:r>
        <w:rPr>
          <w:rFonts w:hint="eastAsia" w:ascii="仿宋_GB2312" w:eastAsia="仿宋_GB2312"/>
          <w:sz w:val="32"/>
          <w:szCs w:val="28"/>
        </w:rPr>
        <w:t>日</w:t>
      </w:r>
    </w:p>
    <w:p>
      <w:pPr>
        <w:rPr>
          <w:rFonts w:ascii="仿宋_GB2312" w:eastAsia="仿宋_GB2312"/>
          <w:sz w:val="32"/>
          <w:szCs w:val="28"/>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widowControl w:val="0"/>
        <w:autoSpaceDE w:val="0"/>
        <w:autoSpaceDN w:val="0"/>
        <w:adjustRightInd w:val="0"/>
        <w:spacing w:line="600" w:lineRule="exact"/>
        <w:jc w:val="center"/>
        <w:rPr>
          <w:rFonts w:ascii="方正小标宋_GBK" w:hAnsi="黑体" w:eastAsia="方正小标宋_GBK" w:cs="宋体"/>
          <w:bCs/>
          <w:color w:val="000000"/>
          <w:sz w:val="44"/>
          <w:szCs w:val="44"/>
          <w:lang w:val="en-US" w:eastAsia="zh-CN" w:bidi="ar-SA"/>
        </w:rPr>
      </w:pPr>
      <w:r>
        <w:rPr>
          <w:rFonts w:hint="eastAsia" w:ascii="方正小标宋_GBK" w:hAnsi="黑体" w:eastAsia="方正小标宋_GBK" w:cs="宋体"/>
          <w:bCs/>
          <w:color w:val="000000"/>
          <w:sz w:val="44"/>
          <w:szCs w:val="44"/>
          <w:lang w:val="en-US" w:eastAsia="zh-CN" w:bidi="ar-SA"/>
        </w:rPr>
        <w:t>温州理工学院教学建设与研究业绩计分</w:t>
      </w: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r>
        <w:rPr>
          <w:rFonts w:hint="eastAsia" w:ascii="方正小标宋_GBK" w:hAnsi="黑体" w:eastAsia="方正小标宋_GBK" w:cs="宋体"/>
          <w:bCs/>
          <w:color w:val="000000"/>
          <w:sz w:val="44"/>
          <w:szCs w:val="44"/>
          <w:lang w:val="en-US" w:eastAsia="zh-CN" w:bidi="ar-SA"/>
        </w:rPr>
        <w:t>及奖励办法（试行）</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楷体" w:eastAsia="仿宋_GB2312" w:cs="楷体"/>
          <w:color w:val="000000"/>
          <w:sz w:val="30"/>
          <w:szCs w:val="30"/>
        </w:rPr>
        <w:t>202</w:t>
      </w:r>
      <w:r>
        <w:rPr>
          <w:rFonts w:hint="eastAsia" w:ascii="仿宋_GB2312" w:hAnsi="楷体" w:eastAsia="仿宋_GB2312" w:cs="楷体"/>
          <w:color w:val="000000"/>
          <w:sz w:val="30"/>
          <w:szCs w:val="30"/>
          <w:lang w:val="en-US" w:eastAsia="zh-CN"/>
        </w:rPr>
        <w:t>2</w:t>
      </w:r>
      <w:r>
        <w:rPr>
          <w:rFonts w:hint="eastAsia" w:ascii="仿宋_GB2312" w:hAnsi="楷体" w:eastAsia="仿宋_GB2312" w:cs="楷体"/>
          <w:color w:val="000000"/>
          <w:sz w:val="30"/>
          <w:szCs w:val="30"/>
        </w:rPr>
        <w:t>年</w:t>
      </w:r>
      <w:r>
        <w:rPr>
          <w:rFonts w:hint="eastAsia" w:ascii="仿宋_GB2312" w:hAnsi="楷体" w:eastAsia="仿宋_GB2312" w:cs="楷体"/>
          <w:color w:val="000000"/>
          <w:sz w:val="30"/>
          <w:szCs w:val="30"/>
          <w:lang w:val="en-US" w:eastAsia="zh-CN"/>
        </w:rPr>
        <w:t>1月9日第18次校长办公会审议通过</w:t>
      </w:r>
      <w:r>
        <w:rPr>
          <w:rFonts w:hint="eastAsia" w:ascii="仿宋_GB2312" w:hAnsi="仿宋_GB2312" w:eastAsia="仿宋_GB2312" w:cs="仿宋_GB2312"/>
          <w:sz w:val="30"/>
          <w:szCs w:val="30"/>
          <w:lang w:val="en-US" w:eastAsia="zh-CN"/>
        </w:rPr>
        <w:t>）</w:t>
      </w: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widowControl w:val="0"/>
        <w:tabs>
          <w:tab w:val="left" w:pos="1281"/>
          <w:tab w:val="left" w:pos="1919"/>
        </w:tabs>
        <w:spacing w:before="156" w:beforeLines="50" w:after="156" w:afterLines="50" w:line="600" w:lineRule="exact"/>
        <w:ind w:right="164"/>
        <w:jc w:val="center"/>
        <w:rPr>
          <w:rFonts w:ascii="黑体" w:hAnsi="黑体" w:eastAsia="黑体" w:cs="Times New Roman"/>
          <w:bCs/>
          <w:color w:val="000000"/>
          <w:kern w:val="2"/>
          <w:sz w:val="32"/>
          <w:szCs w:val="32"/>
          <w:lang w:val="en-US" w:eastAsia="zh-CN" w:bidi="ar-SA"/>
        </w:rPr>
      </w:pPr>
      <w:r>
        <w:rPr>
          <w:rFonts w:hint="eastAsia" w:ascii="黑体" w:hAnsi="黑体" w:eastAsia="黑体" w:cs="Times New Roman"/>
          <w:bCs/>
          <w:color w:val="000000"/>
          <w:kern w:val="2"/>
          <w:sz w:val="32"/>
          <w:szCs w:val="32"/>
          <w:lang w:val="en-US" w:eastAsia="zh-CN" w:bidi="ar-SA"/>
        </w:rPr>
        <w:t>第一章</w:t>
      </w:r>
      <w:r>
        <w:rPr>
          <w:rFonts w:hint="eastAsia" w:ascii="黑体" w:hAnsi="黑体" w:eastAsia="黑体" w:cs="Times New Roman"/>
          <w:bCs/>
          <w:color w:val="000000"/>
          <w:kern w:val="2"/>
          <w:sz w:val="32"/>
          <w:szCs w:val="32"/>
          <w:lang w:val="en-US" w:eastAsia="zh-CN" w:bidi="ar-SA"/>
        </w:rPr>
        <w:tab/>
      </w:r>
      <w:r>
        <w:rPr>
          <w:rFonts w:hint="eastAsia" w:ascii="黑体" w:hAnsi="黑体" w:eastAsia="黑体" w:cs="Times New Roman"/>
          <w:bCs/>
          <w:color w:val="000000"/>
          <w:kern w:val="2"/>
          <w:sz w:val="32"/>
          <w:szCs w:val="32"/>
          <w:lang w:val="en-US" w:eastAsia="zh-CN" w:bidi="ar-SA"/>
        </w:rPr>
        <w:t>总则</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spacing w:val="-3"/>
          <w:kern w:val="2"/>
          <w:sz w:val="32"/>
          <w:szCs w:val="32"/>
          <w:lang w:val="en-US" w:eastAsia="zh-CN" w:bidi="ar-SA"/>
        </w:rPr>
        <w:t>为进一步落实高等学校教学工作的中心地位，充分激</w:t>
      </w:r>
      <w:r>
        <w:rPr>
          <w:rFonts w:hint="eastAsia" w:ascii="仿宋_GB2312" w:hAnsi="Calibri" w:eastAsia="仿宋_GB2312" w:cs="Times New Roman"/>
          <w:color w:val="000000"/>
          <w:spacing w:val="4"/>
          <w:w w:val="95"/>
          <w:kern w:val="2"/>
          <w:sz w:val="32"/>
          <w:szCs w:val="32"/>
          <w:lang w:val="en-US" w:eastAsia="zh-CN" w:bidi="ar-SA"/>
        </w:rPr>
        <w:t>励和调动广大教师投身教学建设与研究工作的积极性和创造性，</w:t>
      </w:r>
      <w:r>
        <w:rPr>
          <w:rFonts w:hint="eastAsia" w:ascii="仿宋_GB2312" w:hAnsi="Calibri" w:eastAsia="仿宋_GB2312" w:cs="Times New Roman"/>
          <w:color w:val="000000"/>
          <w:kern w:val="2"/>
          <w:sz w:val="32"/>
          <w:szCs w:val="32"/>
          <w:lang w:val="en-US" w:eastAsia="zh-CN" w:bidi="ar-SA"/>
        </w:rPr>
        <w:t>结合学校实际，制定本办法。</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spacing w:val="-3"/>
          <w:kern w:val="2"/>
          <w:sz w:val="32"/>
          <w:szCs w:val="32"/>
          <w:lang w:val="en-US" w:eastAsia="zh-CN" w:bidi="ar-SA"/>
        </w:rPr>
      </w:pPr>
      <w:r>
        <w:rPr>
          <w:rFonts w:hint="eastAsia" w:ascii="仿宋_GB2312" w:hAnsi="Calibri" w:eastAsia="仿宋_GB2312" w:cs="Times New Roman"/>
          <w:color w:val="000000"/>
          <w:spacing w:val="-3"/>
          <w:kern w:val="2"/>
          <w:sz w:val="32"/>
          <w:szCs w:val="32"/>
          <w:lang w:val="en-US" w:eastAsia="zh-CN" w:bidi="ar-SA"/>
        </w:rPr>
        <w:t>涉及成果均应以我校为第一完成单位。以“温州理工学院”为非第一单位申报，仅限于省级及以上教学成果奖。</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spacing w:val="-3"/>
          <w:kern w:val="2"/>
          <w:sz w:val="32"/>
          <w:szCs w:val="32"/>
          <w:lang w:val="en-US" w:eastAsia="zh-CN" w:bidi="ar-SA"/>
        </w:rPr>
      </w:pPr>
      <w:r>
        <w:rPr>
          <w:rFonts w:hint="eastAsia" w:ascii="仿宋_GB2312" w:hAnsi="Calibri" w:eastAsia="仿宋_GB2312" w:cs="Times New Roman"/>
          <w:color w:val="000000"/>
          <w:spacing w:val="-3"/>
          <w:kern w:val="2"/>
          <w:sz w:val="32"/>
          <w:szCs w:val="32"/>
          <w:lang w:val="en-US" w:eastAsia="zh-CN" w:bidi="ar-SA"/>
        </w:rPr>
        <w:t>对于弄虚作假或剽窃他人教学建设与研究业绩的行为，由学校教学委员会负责调查取证，一经查实，取消其业绩计分及奖励，追回奖金及撤销其它利益所得，并按有关规定给予当事个人或团队负责人相应的行政处分。</w:t>
      </w:r>
    </w:p>
    <w:p>
      <w:pPr>
        <w:widowControl w:val="0"/>
        <w:tabs>
          <w:tab w:val="left" w:pos="1281"/>
          <w:tab w:val="left" w:pos="1919"/>
        </w:tabs>
        <w:spacing w:before="156" w:beforeLines="50" w:after="156" w:afterLines="50" w:line="240" w:lineRule="auto"/>
        <w:ind w:right="164"/>
        <w:jc w:val="center"/>
        <w:rPr>
          <w:rFonts w:ascii="黑体" w:hAnsi="黑体" w:eastAsia="黑体" w:cs="Times New Roman"/>
          <w:bCs/>
          <w:color w:val="000000"/>
          <w:kern w:val="2"/>
          <w:sz w:val="32"/>
          <w:szCs w:val="32"/>
          <w:lang w:val="en-US" w:eastAsia="zh-CN" w:bidi="ar-SA"/>
        </w:rPr>
      </w:pPr>
      <w:r>
        <w:rPr>
          <w:rFonts w:hint="eastAsia" w:ascii="黑体" w:hAnsi="黑体" w:eastAsia="黑体" w:cs="Times New Roman"/>
          <w:bCs/>
          <w:color w:val="000000"/>
          <w:kern w:val="2"/>
          <w:sz w:val="32"/>
          <w:szCs w:val="32"/>
          <w:lang w:val="en-US" w:eastAsia="zh-CN" w:bidi="ar-SA"/>
        </w:rPr>
        <w:t>第二章  奖励范围与标准</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计分与奖励范围</w:t>
      </w:r>
    </w:p>
    <w:p>
      <w:pPr>
        <w:widowControl w:val="0"/>
        <w:autoSpaceDE w:val="0"/>
        <w:autoSpaceDN w:val="0"/>
        <w:spacing w:line="350" w:lineRule="auto"/>
        <w:ind w:right="275" w:firstLine="640" w:firstLineChars="20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1.</w:t>
      </w:r>
      <w:r>
        <w:rPr>
          <w:rFonts w:hint="eastAsia" w:ascii="仿宋_GB2312" w:hAnsi="Calibri" w:eastAsia="仿宋_GB2312" w:cs="Times New Roman"/>
          <w:color w:val="000000"/>
          <w:spacing w:val="-7"/>
          <w:kern w:val="2"/>
          <w:sz w:val="32"/>
          <w:szCs w:val="32"/>
          <w:lang w:val="en-US" w:eastAsia="zh-CN" w:bidi="ar-SA"/>
        </w:rPr>
        <w:t>教学建设与研究业绩计分范围包括教学获奖（教学成果奖、教材建设奖励、教师竞赛获奖、人才工程、指导学生竞赛获奖）、教学平台、教学项目和指导学生科研项目等。市级及以上、校教学成果奖与教师教学竞赛特等奖的教学建设与研究业绩计分并奖励，其余校级教学建设与研究业绩只计分不奖励。</w:t>
      </w:r>
    </w:p>
    <w:p>
      <w:pPr>
        <w:widowControl w:val="0"/>
        <w:autoSpaceDE w:val="0"/>
        <w:autoSpaceDN w:val="0"/>
        <w:spacing w:line="350" w:lineRule="auto"/>
        <w:ind w:right="275" w:firstLine="612" w:firstLineChars="20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spacing w:val="-7"/>
          <w:kern w:val="2"/>
          <w:sz w:val="32"/>
          <w:szCs w:val="32"/>
          <w:lang w:val="en-US" w:eastAsia="zh-CN" w:bidi="ar-SA"/>
        </w:rPr>
        <w:t>2.教育教学类研究论著的业绩计分与奖励按学校现行科研奖励办法等有关文件规定执行。</w:t>
      </w:r>
    </w:p>
    <w:p>
      <w:pPr>
        <w:widowControl w:val="0"/>
        <w:autoSpaceDE w:val="0"/>
        <w:autoSpaceDN w:val="0"/>
        <w:spacing w:line="350" w:lineRule="auto"/>
        <w:ind w:right="275" w:firstLine="612" w:firstLineChars="20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spacing w:val="-7"/>
          <w:kern w:val="2"/>
          <w:sz w:val="32"/>
          <w:szCs w:val="32"/>
          <w:lang w:val="en-US" w:eastAsia="zh-CN" w:bidi="ar-SA"/>
        </w:rPr>
        <w:t>3.以“温州理工学院”为非第一完成单位获得</w:t>
      </w:r>
      <w:r>
        <w:rPr>
          <w:rFonts w:hint="eastAsia" w:ascii="仿宋_GB2312" w:hAnsi="Calibri" w:eastAsia="仿宋_GB2312" w:cs="Times New Roman"/>
          <w:color w:val="000000"/>
          <w:spacing w:val="-3"/>
          <w:kern w:val="2"/>
          <w:sz w:val="32"/>
          <w:szCs w:val="32"/>
          <w:lang w:val="en-US" w:eastAsia="zh-CN" w:bidi="ar-SA"/>
        </w:rPr>
        <w:t>省级教学成果奖，按获奖</w:t>
      </w:r>
      <w:r>
        <w:rPr>
          <w:rFonts w:hint="eastAsia" w:ascii="仿宋_GB2312" w:hAnsi="Calibri" w:eastAsia="仿宋_GB2312" w:cs="Times New Roman"/>
          <w:color w:val="000000"/>
          <w:spacing w:val="-7"/>
          <w:kern w:val="2"/>
          <w:sz w:val="32"/>
          <w:szCs w:val="32"/>
          <w:lang w:val="en-US" w:eastAsia="zh-CN" w:bidi="ar-SA"/>
        </w:rPr>
        <w:t>单位与个人排名系数之积乘以奖励分计，单位排名系数按50%递减，个人排名前5位的系数分别为1，0.5，0.4，0.3，0.2，其它按0.1计。以“温州理工学院”为非第一完成单位获得</w:t>
      </w:r>
      <w:r>
        <w:rPr>
          <w:rFonts w:hint="eastAsia" w:ascii="仿宋_GB2312" w:hAnsi="Calibri" w:eastAsia="仿宋_GB2312" w:cs="Times New Roman"/>
          <w:color w:val="000000"/>
          <w:spacing w:val="-3"/>
          <w:kern w:val="2"/>
          <w:sz w:val="32"/>
          <w:szCs w:val="32"/>
          <w:lang w:val="en-US" w:eastAsia="zh-CN" w:bidi="ar-SA"/>
        </w:rPr>
        <w:t>国家级教学成果奖，</w:t>
      </w:r>
      <w:r>
        <w:rPr>
          <w:rFonts w:hint="eastAsia" w:ascii="仿宋_GB2312" w:hAnsi="Calibri" w:eastAsia="仿宋_GB2312" w:cs="Times New Roman"/>
          <w:color w:val="000000"/>
          <w:spacing w:val="-7"/>
          <w:kern w:val="2"/>
          <w:sz w:val="32"/>
          <w:szCs w:val="32"/>
          <w:lang w:val="en-US" w:eastAsia="zh-CN" w:bidi="ar-SA"/>
        </w:rPr>
        <w:t>根据获奖单位及个人排名次序，按奖励分的50%递减。例如，以“温州理工学院”为第二完成单位且个人排名前3位的，按奖励分的50%计;第三完成单位且个人排名前5位的，按奖励分的25%计;第四完成单位且个人排名前7位的，按奖励分的12.5%计;以此类推。本单位多人以“温州理工学院”为非第一完成单位获得同一个教学成果奖，业绩分仅计最高分，参与者根据本条款计分按比例分享业绩分。</w:t>
      </w:r>
    </w:p>
    <w:p>
      <w:pPr>
        <w:widowControl w:val="0"/>
        <w:autoSpaceDE w:val="0"/>
        <w:autoSpaceDN w:val="0"/>
        <w:spacing w:line="350" w:lineRule="auto"/>
        <w:ind w:right="275" w:firstLine="612" w:firstLineChars="200"/>
        <w:jc w:val="both"/>
        <w:rPr>
          <w:rFonts w:hint="eastAsia"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spacing w:val="-7"/>
          <w:kern w:val="2"/>
          <w:sz w:val="32"/>
          <w:szCs w:val="32"/>
          <w:lang w:val="en-US" w:eastAsia="zh-CN" w:bidi="ar-SA"/>
        </w:rPr>
        <w:t>4.浙江省高等教育学会一般教学项目等同于六类教学项目、重点教学项目等同于五类教学项目。中国高等教育学会教学项目等同于五类教学项目。</w:t>
      </w:r>
    </w:p>
    <w:p>
      <w:pPr>
        <w:widowControl w:val="0"/>
        <w:autoSpaceDE w:val="0"/>
        <w:autoSpaceDN w:val="0"/>
        <w:spacing w:line="350" w:lineRule="auto"/>
        <w:ind w:right="275" w:firstLine="612" w:firstLineChars="20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spacing w:val="-7"/>
          <w:kern w:val="2"/>
          <w:sz w:val="32"/>
          <w:szCs w:val="32"/>
          <w:lang w:val="en-US" w:eastAsia="zh-CN" w:bidi="ar-SA"/>
        </w:rPr>
        <w:t>5.教学建设与研究业绩计分及奖励内容不包括各种外来的建设与研究经费。</w:t>
      </w:r>
    </w:p>
    <w:p>
      <w:pPr>
        <w:widowControl w:val="0"/>
        <w:autoSpaceDE w:val="0"/>
        <w:autoSpaceDN w:val="0"/>
        <w:spacing w:line="350" w:lineRule="auto"/>
        <w:ind w:right="275" w:firstLine="612" w:firstLineChars="20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spacing w:val="-7"/>
          <w:kern w:val="2"/>
          <w:sz w:val="32"/>
          <w:szCs w:val="32"/>
          <w:lang w:val="en-US" w:eastAsia="zh-CN" w:bidi="ar-SA"/>
        </w:rPr>
        <w:t>6.教师指导学生学科竞赛获奖结合本办法与我校学科竞赛相关管理办法执行。体育、艺术类学科教师指导学生竞赛获奖，按照我校大学体育学科竞赛、大学文化艺术类竞赛相关办法计算业绩分与奖励。</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教学建设与研究业绩计分及奖励标准见附表1。奖励标准另有上级文件规定的，按相应文件精神并结合本办法第三章第八条和第十条的规定执行。</w:t>
      </w:r>
    </w:p>
    <w:p>
      <w:pPr>
        <w:widowControl w:val="0"/>
        <w:tabs>
          <w:tab w:val="left" w:pos="1279"/>
          <w:tab w:val="left" w:pos="1919"/>
        </w:tabs>
        <w:spacing w:before="156" w:beforeLines="50" w:after="156" w:afterLines="50" w:line="240" w:lineRule="auto"/>
        <w:ind w:right="164"/>
        <w:jc w:val="center"/>
        <w:rPr>
          <w:rFonts w:ascii="黑体" w:hAnsi="黑体" w:eastAsia="黑体" w:cs="Times New Roman"/>
          <w:bCs/>
          <w:color w:val="000000"/>
          <w:kern w:val="2"/>
          <w:sz w:val="32"/>
          <w:szCs w:val="32"/>
          <w:lang w:val="en-US" w:eastAsia="zh-CN" w:bidi="ar-SA"/>
        </w:rPr>
      </w:pPr>
      <w:r>
        <w:rPr>
          <w:rFonts w:hint="eastAsia" w:ascii="黑体" w:hAnsi="黑体" w:eastAsia="黑体" w:cs="Times New Roman"/>
          <w:bCs/>
          <w:color w:val="000000"/>
          <w:kern w:val="2"/>
          <w:sz w:val="32"/>
          <w:szCs w:val="32"/>
          <w:lang w:val="en-US" w:eastAsia="zh-CN" w:bidi="ar-SA"/>
        </w:rPr>
        <w:t>第三章</w:t>
      </w:r>
      <w:r>
        <w:rPr>
          <w:rFonts w:hint="eastAsia" w:ascii="黑体" w:hAnsi="黑体" w:eastAsia="黑体" w:cs="Times New Roman"/>
          <w:bCs/>
          <w:color w:val="000000"/>
          <w:kern w:val="2"/>
          <w:sz w:val="32"/>
          <w:szCs w:val="32"/>
          <w:lang w:val="en-US" w:eastAsia="zh-CN" w:bidi="ar-SA"/>
        </w:rPr>
        <w:tab/>
      </w:r>
      <w:r>
        <w:rPr>
          <w:rFonts w:hint="eastAsia" w:ascii="黑体" w:hAnsi="黑体" w:eastAsia="黑体" w:cs="Times New Roman"/>
          <w:bCs/>
          <w:color w:val="000000"/>
          <w:kern w:val="2"/>
          <w:sz w:val="32"/>
          <w:szCs w:val="32"/>
          <w:lang w:val="en-US" w:eastAsia="zh-CN" w:bidi="ar-SA"/>
        </w:rPr>
        <w:t>奖励流程与核发</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由教师个人或项目团队负责人申报，并提供有关能反映本人或团队教学建设与研究业绩的材料原件及复印件，由所在单位审核汇总后统一向教务处（教师教学发展中心、教育督导与教学评估中心）（以下简称“教务处”）申请登记。教务处负责对所报业绩内容进行复核，于每年度末计算业绩分并予以公布。奖励金额由教务处会同相关部门核实后交学校人事处、计划财务处统一发放。</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b/>
          <w:bCs/>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无建设期或荣誉性的成果一次性进行业绩计分和奖励。对于有建设周期的项目，业绩计分及奖励分为立项和结题（验收）两个阶段，立项时计算60%的业绩分及奖励，结题（验收）合格后计发另40%的业绩分及奖励。若项目到期且立项部门无相关结题（验收）工作程序，则以学校组织的预验收结果为依据，对于预结题（验收）合格者，预发相应业绩分及奖励，若后续未能通过立项部门组织的结题（验收），则扣回所预发的相应业绩分及奖励。</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未结题（验收）项目获得同一类别的项目（包括名称不同但内容实质相同或相当的项目），结题（验收）合格后，从中就高计算一次结题（验收）业绩分及奖励。若业绩分及奖励较低的项目先结题（验收）合格，则先兑现较低项目的结题业绩分及奖励，在较高业绩分项目结题（验收）合格后予以补差；若业绩分及奖励较高的项目先结题（验收）合格，则先兑现较高项目与较低项目结题业绩分及奖励的差额，在较低业绩分项目结题（验收）合格后予以补足。</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国家级平台项目可分阶段给予奖励，一事一议，报校长办公会审议后，发放奖励。</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同一项目多个级别立项时业绩分就高计算。</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指导学生学科竞赛获奖，同一竞赛项目指导老师当年就高计算不超过三项，不同竞赛项目可以累加。</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教学建设与研究奖励金额基数视每年度学校财力而定，实行备案制的项目按相应级别标准乘以0.75系数计分。</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凡属团队合作性教学建设与研究的业绩计分及奖励，原则上参照附表3所定比例及表后注释并根据团队成员的实际贡献大小进行合理分配。项目实施过程中，若项目负责人及团队成员出现变化，则其业绩分配应由原项目团队和现项目团队协商解决。</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所获奖金的个人所得税按国家有关政策自理。</w:t>
      </w:r>
    </w:p>
    <w:p>
      <w:pPr>
        <w:widowControl w:val="0"/>
        <w:tabs>
          <w:tab w:val="left" w:pos="1281"/>
          <w:tab w:val="left" w:pos="1919"/>
        </w:tabs>
        <w:spacing w:before="156" w:beforeLines="50" w:after="156" w:afterLines="50" w:line="240" w:lineRule="auto"/>
        <w:ind w:right="164"/>
        <w:jc w:val="center"/>
        <w:rPr>
          <w:rFonts w:ascii="黑体" w:hAnsi="黑体" w:eastAsia="黑体" w:cs="Times New Roman"/>
          <w:bCs/>
          <w:color w:val="000000"/>
          <w:kern w:val="2"/>
          <w:sz w:val="32"/>
          <w:szCs w:val="32"/>
          <w:lang w:val="en-US" w:eastAsia="zh-CN" w:bidi="ar-SA"/>
        </w:rPr>
      </w:pPr>
      <w:r>
        <w:rPr>
          <w:rFonts w:hint="eastAsia" w:ascii="黑体" w:hAnsi="黑体" w:eastAsia="黑体" w:cs="Times New Roman"/>
          <w:bCs/>
          <w:color w:val="000000"/>
          <w:kern w:val="2"/>
          <w:sz w:val="32"/>
          <w:szCs w:val="32"/>
          <w:lang w:val="en-US" w:eastAsia="zh-CN" w:bidi="ar-SA"/>
        </w:rPr>
        <w:t>第四章</w:t>
      </w:r>
      <w:r>
        <w:rPr>
          <w:rFonts w:hint="eastAsia" w:ascii="黑体" w:hAnsi="黑体" w:eastAsia="黑体" w:cs="Times New Roman"/>
          <w:bCs/>
          <w:color w:val="000000"/>
          <w:kern w:val="2"/>
          <w:sz w:val="32"/>
          <w:szCs w:val="32"/>
          <w:lang w:val="en-US" w:eastAsia="zh-CN" w:bidi="ar-SA"/>
        </w:rPr>
        <w:tab/>
      </w:r>
      <w:r>
        <w:rPr>
          <w:rFonts w:hint="eastAsia" w:ascii="黑体" w:hAnsi="黑体" w:eastAsia="黑体" w:cs="Times New Roman"/>
          <w:bCs/>
          <w:color w:val="000000"/>
          <w:kern w:val="2"/>
          <w:sz w:val="32"/>
          <w:szCs w:val="32"/>
          <w:lang w:val="en-US" w:eastAsia="zh-CN" w:bidi="ar-SA"/>
        </w:rPr>
        <w:t>附则</w:t>
      </w:r>
    </w:p>
    <w:p>
      <w:pPr>
        <w:widowControl w:val="0"/>
        <w:autoSpaceDE w:val="0"/>
        <w:autoSpaceDN w:val="0"/>
        <w:spacing w:line="350" w:lineRule="auto"/>
        <w:ind w:right="275" w:firstLine="643" w:firstLineChars="20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b/>
          <w:bCs/>
          <w:color w:val="000000"/>
          <w:kern w:val="2"/>
          <w:sz w:val="32"/>
          <w:szCs w:val="32"/>
          <w:lang w:val="en-US" w:eastAsia="zh-CN" w:bidi="ar-SA"/>
        </w:rPr>
        <w:t>第十五条</w:t>
      </w:r>
      <w:r>
        <w:rPr>
          <w:rFonts w:hint="eastAsia" w:ascii="仿宋_GB2312" w:hAnsi="Calibri" w:eastAsia="仿宋_GB2312" w:cs="Times New Roman"/>
          <w:color w:val="000000"/>
          <w:kern w:val="2"/>
          <w:sz w:val="32"/>
          <w:szCs w:val="32"/>
          <w:lang w:val="en-US" w:eastAsia="zh-CN" w:bidi="ar-SA"/>
        </w:rPr>
        <w:t xml:space="preserve"> 出现成果类型及名称等无法直接对应本办法所涵盖的项目等一般性争议，教务处须提请校教学委员会或有关专家裁定。若出现较大争议或需对本办法做出部分修改，由相关二级学院或部门提出申请，教务处审核后提出意见，经校教学委员会（或针对性组织专家组）审议，最后报校长办公会议研究决定。</w:t>
      </w:r>
    </w:p>
    <w:p>
      <w:pPr>
        <w:widowControl w:val="0"/>
        <w:autoSpaceDE w:val="0"/>
        <w:autoSpaceDN w:val="0"/>
        <w:spacing w:line="350" w:lineRule="auto"/>
        <w:ind w:right="275" w:firstLine="643" w:firstLineChars="200"/>
        <w:jc w:val="both"/>
        <w:rPr>
          <w:rFonts w:hint="eastAsia"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b/>
          <w:bCs/>
          <w:color w:val="000000"/>
          <w:kern w:val="2"/>
          <w:sz w:val="32"/>
          <w:szCs w:val="32"/>
          <w:lang w:val="en-US" w:eastAsia="zh-CN" w:bidi="ar-SA"/>
        </w:rPr>
        <w:t>第十六条</w:t>
      </w:r>
      <w:r>
        <w:rPr>
          <w:rFonts w:hint="eastAsia" w:ascii="仿宋_GB2312" w:hAnsi="Calibri" w:eastAsia="仿宋_GB2312" w:cs="Times New Roman"/>
          <w:color w:val="000000"/>
          <w:kern w:val="2"/>
          <w:sz w:val="32"/>
          <w:szCs w:val="32"/>
          <w:lang w:val="en-US" w:eastAsia="zh-CN" w:bidi="ar-SA"/>
        </w:rPr>
        <w:t xml:space="preserve"> 本办法自2022年1月1日起开始实施，由教务处负责解释。</w:t>
      </w:r>
    </w:p>
    <w:p>
      <w:pPr>
        <w:widowControl w:val="0"/>
        <w:autoSpaceDE w:val="0"/>
        <w:autoSpaceDN w:val="0"/>
        <w:spacing w:line="350" w:lineRule="auto"/>
        <w:ind w:right="275" w:firstLine="640" w:firstLineChars="200"/>
        <w:jc w:val="both"/>
        <w:rPr>
          <w:rFonts w:hint="eastAsia" w:ascii="仿宋_GB2312" w:hAnsi="Calibri" w:eastAsia="仿宋_GB2312" w:cs="Times New Roman"/>
          <w:color w:val="000000"/>
          <w:kern w:val="2"/>
          <w:sz w:val="32"/>
          <w:szCs w:val="32"/>
          <w:lang w:val="en-US" w:eastAsia="zh-CN" w:bidi="ar-SA"/>
        </w:rPr>
      </w:pPr>
    </w:p>
    <w:p>
      <w:pPr>
        <w:spacing w:before="4"/>
        <w:ind w:left="1590" w:leftChars="300" w:right="275" w:hanging="960" w:hangingChars="3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w:t>
      </w:r>
      <w:r>
        <w:rPr>
          <w:rFonts w:hint="eastAsia" w:ascii="仿宋_GB2312" w:hAnsi="Times New Roman" w:eastAsia="仿宋_GB2312" w:cs="Times New Roman"/>
          <w:color w:val="000000"/>
          <w:sz w:val="32"/>
          <w:szCs w:val="32"/>
          <w:lang w:val="en-US" w:eastAsia="zh-CN"/>
        </w:rPr>
        <w:t>表：</w:t>
      </w:r>
      <w:r>
        <w:rPr>
          <w:rFonts w:hint="eastAsia"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教学建设与研究业绩计分及奖励标准</w:t>
      </w:r>
      <w:r>
        <w:rPr>
          <w:rFonts w:hint="eastAsia" w:ascii="仿宋_GB2312" w:hAnsi="Times New Roman" w:eastAsia="仿宋_GB2312" w:cs="Times New Roman"/>
          <w:color w:val="000000"/>
          <w:sz w:val="32"/>
          <w:szCs w:val="32"/>
        </w:rPr>
        <w:br w:type="textWrapping"/>
      </w:r>
      <w:r>
        <w:rPr>
          <w:rFonts w:hint="eastAsia" w:ascii="仿宋_GB2312" w:hAnsi="Times New Roman" w:eastAsia="仿宋_GB2312" w:cs="Times New Roman"/>
          <w:color w:val="000000"/>
          <w:sz w:val="32"/>
          <w:szCs w:val="32"/>
          <w:lang w:val="en-US" w:eastAsia="zh-CN"/>
        </w:rPr>
        <w:t>2.</w:t>
      </w:r>
      <w:r>
        <w:rPr>
          <w:rFonts w:hint="eastAsia" w:ascii="仿宋_GB2312" w:hAnsi="Times New Roman" w:eastAsia="仿宋_GB2312" w:cs="Times New Roman"/>
          <w:color w:val="000000"/>
          <w:sz w:val="32"/>
          <w:szCs w:val="32"/>
        </w:rPr>
        <w:t>温州理工学院学科竞赛等级及教师奖励标准</w:t>
      </w:r>
      <w:r>
        <w:rPr>
          <w:rFonts w:hint="eastAsia" w:ascii="仿宋_GB2312" w:hAnsi="Times New Roman" w:eastAsia="仿宋_GB2312" w:cs="Times New Roman"/>
          <w:color w:val="000000"/>
          <w:sz w:val="32"/>
          <w:szCs w:val="32"/>
        </w:rPr>
        <w:br w:type="textWrapping"/>
      </w:r>
      <w:r>
        <w:rPr>
          <w:rFonts w:hint="eastAsia" w:ascii="仿宋_GB2312"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rPr>
        <w:t>多人合作分享成果系数</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Times New Roman"/>
          <w:bCs/>
          <w:color w:val="000000"/>
          <w:sz w:val="32"/>
          <w:szCs w:val="32"/>
        </w:rPr>
      </w:pPr>
      <w:r>
        <w:rPr>
          <w:rFonts w:ascii="仿宋_GB2312" w:hAnsi="Times New Roman" w:eastAsia="仿宋_GB2312" w:cs="Times New Roman"/>
          <w:color w:val="000000"/>
          <w:sz w:val="32"/>
          <w:szCs w:val="32"/>
        </w:rPr>
        <w:br w:type="page"/>
      </w:r>
      <w:r>
        <w:rPr>
          <w:rFonts w:hint="eastAsia" w:ascii="黑体" w:hAnsi="黑体" w:eastAsia="黑体" w:cs="Times New Roman"/>
          <w:bCs/>
          <w:color w:val="000000"/>
          <w:sz w:val="32"/>
          <w:szCs w:val="32"/>
        </w:rPr>
        <w:t>附</w:t>
      </w:r>
      <w:r>
        <w:rPr>
          <w:rFonts w:hint="eastAsia" w:ascii="黑体" w:hAnsi="黑体" w:eastAsia="黑体" w:cs="Times New Roman"/>
          <w:bCs/>
          <w:color w:val="000000"/>
          <w:sz w:val="32"/>
          <w:szCs w:val="32"/>
          <w:lang w:val="en-US" w:eastAsia="zh-CN"/>
        </w:rPr>
        <w:t>表</w:t>
      </w:r>
      <w:r>
        <w:rPr>
          <w:rFonts w:hint="eastAsia" w:ascii="黑体" w:hAnsi="黑体" w:eastAsia="黑体" w:cs="Times New Roman"/>
          <w:bCs/>
          <w:color w:val="000000"/>
          <w:sz w:val="32"/>
          <w:szCs w:val="32"/>
        </w:rPr>
        <w:t>1</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Times New Roman"/>
          <w:bCs/>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000000"/>
          <w:sz w:val="24"/>
          <w:szCs w:val="24"/>
        </w:rPr>
      </w:pPr>
      <w:r>
        <w:rPr>
          <w:rFonts w:hint="eastAsia" w:ascii="方正小标宋_GBK" w:hAnsi="方正小标宋_GBK" w:eastAsia="方正小标宋_GBK" w:cs="方正小标宋_GBK"/>
          <w:bCs/>
          <w:color w:val="000000"/>
          <w:sz w:val="44"/>
          <w:szCs w:val="44"/>
        </w:rPr>
        <w:t>教学建设与研究业绩计分及奖励标准</w:t>
      </w:r>
    </w:p>
    <w:tbl>
      <w:tblPr>
        <w:tblStyle w:val="7"/>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70"/>
        <w:gridCol w:w="1351"/>
        <w:gridCol w:w="992"/>
        <w:gridCol w:w="108"/>
        <w:gridCol w:w="1137"/>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9848" w:type="dxa"/>
            <w:gridSpan w:val="7"/>
            <w:noWrap w:val="0"/>
            <w:vAlign w:val="center"/>
          </w:tcPr>
          <w:p>
            <w:pPr>
              <w:widowControl w:val="0"/>
              <w:spacing w:before="4" w:line="360" w:lineRule="exact"/>
              <w:ind w:right="275"/>
              <w:jc w:val="center"/>
              <w:rPr>
                <w:rFonts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教  学  获  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5304" w:type="dxa"/>
            <w:gridSpan w:val="2"/>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奖      项</w:t>
            </w:r>
          </w:p>
        </w:tc>
        <w:tc>
          <w:tcPr>
            <w:tcW w:w="4544" w:type="dxa"/>
            <w:gridSpan w:val="5"/>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等 级 和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1134" w:type="dxa"/>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类别</w:t>
            </w:r>
          </w:p>
        </w:tc>
        <w:tc>
          <w:tcPr>
            <w:tcW w:w="4170" w:type="dxa"/>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名      称</w:t>
            </w:r>
          </w:p>
        </w:tc>
        <w:tc>
          <w:tcPr>
            <w:tcW w:w="1351" w:type="dxa"/>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特等奖</w:t>
            </w:r>
          </w:p>
        </w:tc>
        <w:tc>
          <w:tcPr>
            <w:tcW w:w="1100" w:type="dxa"/>
            <w:gridSpan w:val="2"/>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一等奖</w:t>
            </w:r>
          </w:p>
        </w:tc>
        <w:tc>
          <w:tcPr>
            <w:tcW w:w="1137" w:type="dxa"/>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二等奖</w:t>
            </w:r>
          </w:p>
        </w:tc>
        <w:tc>
          <w:tcPr>
            <w:tcW w:w="956" w:type="dxa"/>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教学</w:t>
            </w:r>
          </w:p>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成果奖</w:t>
            </w: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国家级高等教育教学成果</w:t>
            </w:r>
          </w:p>
        </w:tc>
        <w:tc>
          <w:tcPr>
            <w:tcW w:w="1351"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 xml:space="preserve">  2000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500</w:t>
            </w:r>
          </w:p>
        </w:tc>
        <w:tc>
          <w:tcPr>
            <w:tcW w:w="956" w:type="dxa"/>
            <w:noWrap w:val="0"/>
            <w:vAlign w:val="center"/>
          </w:tcPr>
          <w:p>
            <w:pPr>
              <w:spacing w:line="360" w:lineRule="exact"/>
              <w:jc w:val="center"/>
              <w:rPr>
                <w:rFonts w:ascii="仿宋_GB2312" w:hAnsi="仿宋_GB2312" w:eastAsia="仿宋_GB2312" w:cs="仿宋_GB2312"/>
                <w:b/>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国家级基础教育、职业教育教学成果</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260</w:t>
            </w:r>
          </w:p>
        </w:tc>
        <w:tc>
          <w:tcPr>
            <w:tcW w:w="956" w:type="dxa"/>
            <w:noWrap w:val="0"/>
            <w:vAlign w:val="center"/>
          </w:tcPr>
          <w:p>
            <w:pPr>
              <w:spacing w:line="360" w:lineRule="exact"/>
              <w:jc w:val="center"/>
              <w:rPr>
                <w:rFonts w:ascii="仿宋_GB2312" w:hAnsi="仿宋_GB2312" w:eastAsia="仿宋_GB2312" w:cs="仿宋_GB2312"/>
                <w:b/>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省级高等教育教学成果</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350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省级基础教育、职业教育教学成果</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市级教学成果</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9</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6</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校级教学成果</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教材建设奖</w:t>
            </w: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国家级高等教育优秀教材</w:t>
            </w:r>
          </w:p>
        </w:tc>
        <w:tc>
          <w:tcPr>
            <w:tcW w:w="1351"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 xml:space="preserve">  2000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500</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highlight w:val="yellow"/>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国家级基础教育、职业教育优秀教材</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260</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highlight w:val="yellow"/>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省级高等教育优秀教材</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350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highlight w:val="yellow"/>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省级基础教育、职业教育优秀教材</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highlight w:val="yellow"/>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市级优秀教材</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9</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6</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highlight w:val="yellow"/>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校级优秀教材</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教师</w:t>
            </w:r>
          </w:p>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竞赛</w:t>
            </w:r>
          </w:p>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获奖</w:t>
            </w: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全国青年教师教学竞赛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25</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全国教师教学创新大赛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25</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国家级单项教学技能竞赛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12</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7</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省级青年教师教学竞赛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12</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7</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省级教师教学创新大赛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12</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7</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省级单项教学技能竞赛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6</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4</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市级（包括行业或教育行政主管部门隶属单位组织）教学竞赛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6</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4</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市级（包括行业或教育行政主管部门隶属单位组织）单项教学技能竞赛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4</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校级教师教学竞赛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4</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校级单项教学技能竞赛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人才</w:t>
            </w:r>
          </w:p>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工程</w:t>
            </w:r>
          </w:p>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国家级教学名师奖</w:t>
            </w:r>
          </w:p>
        </w:tc>
        <w:tc>
          <w:tcPr>
            <w:tcW w:w="4544" w:type="dxa"/>
            <w:gridSpan w:val="5"/>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国家级教学新秀奖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省级教学名师奖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省级教学新秀奖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市级教学名师奖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市级教学新秀奖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校级教学名师奖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校级教学新秀奖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1134" w:type="dxa"/>
            <w:noWrap w:val="0"/>
            <w:vAlign w:val="center"/>
          </w:tcPr>
          <w:p>
            <w:pPr>
              <w:spacing w:line="240" w:lineRule="auto"/>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指导学生竞赛获奖</w:t>
            </w:r>
          </w:p>
        </w:tc>
        <w:tc>
          <w:tcPr>
            <w:tcW w:w="8714" w:type="dxa"/>
            <w:gridSpan w:val="6"/>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详见附表2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48" w:type="dxa"/>
            <w:gridSpan w:val="7"/>
            <w:noWrap w:val="0"/>
            <w:vAlign w:val="center"/>
          </w:tcPr>
          <w:p>
            <w:pPr>
              <w:spacing w:line="360" w:lineRule="exact"/>
              <w:jc w:val="center"/>
              <w:rPr>
                <w:rFonts w:ascii="仿宋_GB2312" w:hAnsi="仿宋_GB2312" w:eastAsia="仿宋_GB2312" w:cs="仿宋_GB2312"/>
                <w:b/>
                <w:color w:val="000000"/>
                <w:sz w:val="22"/>
                <w:szCs w:val="22"/>
              </w:rPr>
            </w:pPr>
            <w:r>
              <w:rPr>
                <w:rFonts w:hint="eastAsia" w:ascii="仿宋_GB2312" w:hAnsi="仿宋_GB2312" w:eastAsia="仿宋_GB2312" w:cs="仿宋_GB2312"/>
                <w:b/>
                <w:bCs/>
                <w:color w:val="000000"/>
                <w:sz w:val="22"/>
                <w:szCs w:val="22"/>
              </w:rPr>
              <w:t>教  学  平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4"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平台类型、级别</w:t>
            </w:r>
          </w:p>
        </w:tc>
        <w:tc>
          <w:tcPr>
            <w:tcW w:w="2343"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分  值</w:t>
            </w:r>
          </w:p>
        </w:tc>
        <w:tc>
          <w:tcPr>
            <w:tcW w:w="2201" w:type="dxa"/>
            <w:gridSpan w:val="3"/>
            <w:noWrap w:val="0"/>
            <w:vAlign w:val="center"/>
          </w:tcPr>
          <w:p>
            <w:pPr>
              <w:spacing w:line="360" w:lineRule="exact"/>
              <w:jc w:val="center"/>
              <w:rPr>
                <w:rFonts w:ascii="仿宋_GB2312" w:hAnsi="仿宋_GB2312" w:eastAsia="仿宋_GB2312" w:cs="仿宋_GB2312"/>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48" w:type="dxa"/>
            <w:gridSpan w:val="7"/>
            <w:noWrap w:val="0"/>
            <w:vAlign w:val="center"/>
          </w:tcPr>
          <w:p>
            <w:pPr>
              <w:spacing w:line="240" w:lineRule="auto"/>
              <w:jc w:val="left"/>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4" w:type="dxa"/>
            <w:gridSpan w:val="2"/>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国家级一流专业建设点</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500</w:t>
            </w:r>
          </w:p>
          <w:p>
            <w:pPr>
              <w:spacing w:line="240" w:lineRule="auto"/>
              <w:ind w:firstLine="220" w:firstLineChars="100"/>
              <w:jc w:val="center"/>
              <w:rPr>
                <w:rFonts w:ascii="仿宋_GB2312" w:hAnsi="仿宋_GB2312" w:eastAsia="仿宋_GB2312" w:cs="仿宋_GB2312"/>
                <w:color w:val="000000"/>
                <w:sz w:val="22"/>
                <w:szCs w:val="22"/>
              </w:rPr>
            </w:pPr>
          </w:p>
        </w:tc>
        <w:tc>
          <w:tcPr>
            <w:tcW w:w="2201" w:type="dxa"/>
            <w:gridSpan w:val="3"/>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9848" w:type="dxa"/>
            <w:gridSpan w:val="7"/>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4" w:type="dxa"/>
            <w:gridSpan w:val="2"/>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工程教育专业认证 </w:t>
            </w:r>
          </w:p>
          <w:p>
            <w:pPr>
              <w:spacing w:line="240" w:lineRule="auto"/>
              <w:jc w:val="left"/>
              <w:rPr>
                <w:rFonts w:ascii="仿宋_GB2312" w:hAnsi="仿宋_GB2312" w:eastAsia="仿宋_GB2312" w:cs="仿宋_GB2312"/>
                <w:color w:val="000000"/>
                <w:sz w:val="22"/>
                <w:szCs w:val="22"/>
                <w:highlight w:val="yellow"/>
              </w:rPr>
            </w:pPr>
          </w:p>
        </w:tc>
        <w:tc>
          <w:tcPr>
            <w:tcW w:w="2343" w:type="dxa"/>
            <w:gridSpan w:val="2"/>
            <w:vMerge w:val="restart"/>
            <w:noWrap w:val="0"/>
            <w:vAlign w:val="center"/>
          </w:tcPr>
          <w:p>
            <w:pPr>
              <w:spacing w:line="240" w:lineRule="auto"/>
              <w:jc w:val="center"/>
              <w:rPr>
                <w:rFonts w:ascii="仿宋_GB2312" w:hAnsi="仿宋_GB2312" w:eastAsia="仿宋_GB2312" w:cs="仿宋_GB2312"/>
                <w:color w:val="000000"/>
                <w:sz w:val="22"/>
                <w:szCs w:val="22"/>
                <w:highlight w:val="yellow"/>
              </w:rPr>
            </w:pPr>
            <w:r>
              <w:rPr>
                <w:rFonts w:hint="eastAsia" w:ascii="仿宋_GB2312" w:hAnsi="仿宋_GB2312" w:eastAsia="仿宋_GB2312" w:cs="仿宋_GB2312"/>
                <w:color w:val="000000"/>
                <w:sz w:val="22"/>
                <w:szCs w:val="22"/>
              </w:rPr>
              <w:t>300</w:t>
            </w:r>
          </w:p>
        </w:tc>
        <w:tc>
          <w:tcPr>
            <w:tcW w:w="2201" w:type="dxa"/>
            <w:gridSpan w:val="3"/>
            <w:vMerge w:val="restart"/>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4" w:type="dxa"/>
            <w:gridSpan w:val="2"/>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国家级实验教学示范中心</w:t>
            </w:r>
          </w:p>
        </w:tc>
        <w:tc>
          <w:tcPr>
            <w:tcW w:w="2343" w:type="dxa"/>
            <w:gridSpan w:val="2"/>
            <w:vMerge w:val="continue"/>
            <w:noWrap w:val="0"/>
            <w:vAlign w:val="center"/>
          </w:tcPr>
          <w:p>
            <w:pPr>
              <w:spacing w:line="240" w:lineRule="auto"/>
              <w:jc w:val="center"/>
              <w:rPr>
                <w:rFonts w:ascii="仿宋_GB2312" w:hAnsi="仿宋_GB2312" w:eastAsia="仿宋_GB2312" w:cs="仿宋_GB2312"/>
                <w:color w:val="000000"/>
                <w:sz w:val="22"/>
                <w:szCs w:val="22"/>
              </w:rPr>
            </w:pPr>
          </w:p>
        </w:tc>
        <w:tc>
          <w:tcPr>
            <w:tcW w:w="2201" w:type="dxa"/>
            <w:gridSpan w:val="3"/>
            <w:vMerge w:val="continue"/>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9848" w:type="dxa"/>
            <w:gridSpan w:val="7"/>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5304" w:type="dxa"/>
            <w:gridSpan w:val="2"/>
            <w:noWrap w:val="0"/>
            <w:vAlign w:val="top"/>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省一流专业建设点</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国家级产业学院</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国家级优秀教学组织（虚拟教研室）</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国家级教师团队 </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200</w:t>
            </w:r>
          </w:p>
        </w:tc>
        <w:tc>
          <w:tcPr>
            <w:tcW w:w="2201" w:type="dxa"/>
            <w:gridSpan w:val="3"/>
            <w:noWrap w:val="0"/>
            <w:vAlign w:val="top"/>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5304" w:type="dxa"/>
            <w:gridSpan w:val="2"/>
            <w:noWrap w:val="0"/>
            <w:vAlign w:val="top"/>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国家级大学生校外实践教育基地</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教育部六卓越一拔尖计划</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国家级产教融合示范基地</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150</w:t>
            </w:r>
          </w:p>
        </w:tc>
        <w:tc>
          <w:tcPr>
            <w:tcW w:w="2201" w:type="dxa"/>
            <w:gridSpan w:val="3"/>
            <w:noWrap w:val="0"/>
            <w:vAlign w:val="top"/>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9848" w:type="dxa"/>
            <w:gridSpan w:val="7"/>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exact"/>
          <w:jc w:val="center"/>
        </w:trPr>
        <w:tc>
          <w:tcPr>
            <w:tcW w:w="5304" w:type="dxa"/>
            <w:gridSpan w:val="2"/>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w:t>
            </w:r>
            <w:r>
              <w:rPr>
                <w:rFonts w:ascii="仿宋_GB2312" w:hAnsi="仿宋_GB2312" w:eastAsia="仿宋_GB2312" w:cs="仿宋_GB2312"/>
                <w:color w:val="000000"/>
                <w:sz w:val="22"/>
                <w:szCs w:val="22"/>
              </w:rPr>
              <w:t>课程思政教学研究</w:t>
            </w:r>
            <w:r>
              <w:rPr>
                <w:rFonts w:hint="eastAsia" w:ascii="仿宋_GB2312" w:hAnsi="仿宋_GB2312" w:eastAsia="仿宋_GB2312" w:cs="仿宋_GB2312"/>
                <w:color w:val="000000"/>
                <w:sz w:val="22"/>
                <w:szCs w:val="22"/>
              </w:rPr>
              <w:t>示范</w:t>
            </w:r>
            <w:r>
              <w:rPr>
                <w:rFonts w:ascii="仿宋_GB2312" w:hAnsi="仿宋_GB2312" w:eastAsia="仿宋_GB2312" w:cs="仿宋_GB2312"/>
                <w:color w:val="000000"/>
                <w:sz w:val="22"/>
                <w:szCs w:val="22"/>
              </w:rPr>
              <w:t>中心</w:t>
            </w:r>
          </w:p>
          <w:p>
            <w:pPr>
              <w:spacing w:line="240" w:lineRule="auto"/>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省级示范性智慧思政大数据平台</w:t>
            </w:r>
          </w:p>
          <w:p>
            <w:pPr>
              <w:spacing w:line="240" w:lineRule="auto"/>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省级新时代思政研学基地</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w:t>
            </w:r>
            <w:r>
              <w:rPr>
                <w:rFonts w:ascii="仿宋_GB2312" w:hAnsi="仿宋_GB2312" w:eastAsia="仿宋_GB2312" w:cs="仿宋_GB2312"/>
                <w:color w:val="000000"/>
                <w:sz w:val="22"/>
                <w:szCs w:val="22"/>
              </w:rPr>
              <w:t>重点实验教学示范中心</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省级产教融合联盟</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省级产业学院建设点</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120</w:t>
            </w:r>
          </w:p>
        </w:tc>
        <w:tc>
          <w:tcPr>
            <w:tcW w:w="2201" w:type="dxa"/>
            <w:gridSpan w:val="3"/>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exact"/>
          <w:jc w:val="center"/>
        </w:trPr>
        <w:tc>
          <w:tcPr>
            <w:tcW w:w="9848" w:type="dxa"/>
            <w:gridSpan w:val="7"/>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exact"/>
          <w:jc w:val="center"/>
        </w:trPr>
        <w:tc>
          <w:tcPr>
            <w:tcW w:w="5304" w:type="dxa"/>
            <w:gridSpan w:val="2"/>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省级大学生重点校外实践教育基地</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省级产教融合示范基地</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省级优秀教学组织（虚拟教研室）</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省级教学团队</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省级课程思政基层教学组织</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省级名师工作室</w:t>
            </w:r>
          </w:p>
          <w:p>
            <w:pPr>
              <w:spacing w:line="240" w:lineRule="auto"/>
              <w:jc w:val="left"/>
              <w:rPr>
                <w:rFonts w:ascii="仿宋_GB2312" w:hAnsi="仿宋_GB2312" w:eastAsia="仿宋_GB2312" w:cs="仿宋_GB2312"/>
                <w:color w:val="000000"/>
                <w:sz w:val="22"/>
                <w:szCs w:val="22"/>
              </w:rPr>
            </w:pPr>
          </w:p>
          <w:p>
            <w:pPr>
              <w:spacing w:line="240" w:lineRule="auto"/>
              <w:jc w:val="left"/>
              <w:rPr>
                <w:rFonts w:ascii="仿宋_GB2312" w:hAnsi="仿宋_GB2312" w:eastAsia="仿宋_GB2312" w:cs="仿宋_GB2312"/>
                <w:color w:val="000000"/>
                <w:sz w:val="22"/>
                <w:szCs w:val="22"/>
              </w:rPr>
            </w:pPr>
          </w:p>
          <w:p>
            <w:pPr>
              <w:spacing w:line="240" w:lineRule="auto"/>
              <w:jc w:val="left"/>
              <w:rPr>
                <w:rFonts w:ascii="仿宋_GB2312" w:hAnsi="仿宋_GB2312" w:eastAsia="仿宋_GB2312" w:cs="仿宋_GB2312"/>
                <w:color w:val="000000"/>
                <w:sz w:val="22"/>
                <w:szCs w:val="22"/>
              </w:rPr>
            </w:pPr>
          </w:p>
          <w:p>
            <w:pPr>
              <w:spacing w:line="240" w:lineRule="auto"/>
              <w:jc w:val="left"/>
              <w:rPr>
                <w:rFonts w:ascii="仿宋_GB2312" w:hAnsi="仿宋_GB2312" w:eastAsia="仿宋_GB2312" w:cs="仿宋_GB2312"/>
                <w:color w:val="000000"/>
                <w:sz w:val="22"/>
                <w:szCs w:val="22"/>
              </w:rPr>
            </w:pPr>
          </w:p>
          <w:p>
            <w:pPr>
              <w:spacing w:line="240" w:lineRule="auto"/>
              <w:jc w:val="left"/>
              <w:rPr>
                <w:rFonts w:ascii="仿宋_GB2312" w:hAnsi="仿宋_GB2312" w:eastAsia="仿宋_GB2312" w:cs="仿宋_GB2312"/>
                <w:color w:val="000000"/>
                <w:sz w:val="22"/>
                <w:szCs w:val="22"/>
              </w:rPr>
            </w:pP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60</w:t>
            </w:r>
          </w:p>
        </w:tc>
        <w:tc>
          <w:tcPr>
            <w:tcW w:w="2201" w:type="dxa"/>
            <w:gridSpan w:val="3"/>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848" w:type="dxa"/>
            <w:gridSpan w:val="7"/>
            <w:noWrap w:val="0"/>
            <w:vAlign w:val="top"/>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5304" w:type="dxa"/>
            <w:gridSpan w:val="2"/>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市级一流专业建设点</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市级教学组织与团队</w:t>
            </w:r>
          </w:p>
          <w:p>
            <w:pPr>
              <w:spacing w:line="240" w:lineRule="auto"/>
              <w:jc w:val="left"/>
              <w:rPr>
                <w:rFonts w:ascii="仿宋_GB2312" w:hAnsi="仿宋_GB2312" w:eastAsia="仿宋_GB2312" w:cs="仿宋_GB2312"/>
                <w:color w:val="000000"/>
                <w:sz w:val="22"/>
                <w:szCs w:val="22"/>
                <w:vertAlign w:val="superscript"/>
              </w:rPr>
            </w:pPr>
            <w:r>
              <w:rPr>
                <w:rFonts w:hint="eastAsia" w:ascii="仿宋_GB2312" w:hAnsi="仿宋_GB2312" w:eastAsia="仿宋_GB2312" w:cs="仿宋_GB2312"/>
                <w:color w:val="000000"/>
                <w:sz w:val="22"/>
                <w:szCs w:val="22"/>
              </w:rPr>
              <w:t>市级实验教学示范中心</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市级大学生校外实践教育基地</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市级产教融合示范基地</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w:t>
            </w:r>
          </w:p>
        </w:tc>
        <w:tc>
          <w:tcPr>
            <w:tcW w:w="2201" w:type="dxa"/>
            <w:gridSpan w:val="3"/>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8" w:type="dxa"/>
            <w:gridSpan w:val="7"/>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jc w:val="center"/>
        </w:trPr>
        <w:tc>
          <w:tcPr>
            <w:tcW w:w="5304" w:type="dxa"/>
            <w:gridSpan w:val="2"/>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校级实验教学示范中心</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校级大学生校外实践教育基地</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校级产教融合示范基地</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校级优秀教学组织与团队</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10</w:t>
            </w:r>
          </w:p>
        </w:tc>
        <w:tc>
          <w:tcPr>
            <w:tcW w:w="2201" w:type="dxa"/>
            <w:gridSpan w:val="3"/>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48" w:type="dxa"/>
            <w:gridSpan w:val="7"/>
            <w:noWrap w:val="0"/>
            <w:vAlign w:val="center"/>
          </w:tcPr>
          <w:p>
            <w:pPr>
              <w:spacing w:line="360" w:lineRule="exact"/>
              <w:jc w:val="center"/>
              <w:rPr>
                <w:rFonts w:ascii="仿宋_GB2312" w:hAnsi="仿宋_GB2312" w:eastAsia="仿宋_GB2312" w:cs="仿宋_GB2312"/>
                <w:b/>
                <w:color w:val="000000"/>
                <w:sz w:val="22"/>
                <w:szCs w:val="22"/>
              </w:rPr>
            </w:pPr>
            <w:r>
              <w:rPr>
                <w:rFonts w:hint="eastAsia" w:ascii="仿宋_GB2312" w:hAnsi="仿宋_GB2312" w:eastAsia="仿宋_GB2312" w:cs="仿宋_GB2312"/>
                <w:b/>
                <w:color w:val="000000"/>
                <w:sz w:val="22"/>
                <w:szCs w:val="22"/>
              </w:rPr>
              <w:t>教  学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4"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项目类型、级别</w:t>
            </w:r>
          </w:p>
        </w:tc>
        <w:tc>
          <w:tcPr>
            <w:tcW w:w="2343" w:type="dxa"/>
            <w:gridSpan w:val="2"/>
            <w:noWrap w:val="0"/>
            <w:vAlign w:val="center"/>
          </w:tcPr>
          <w:p>
            <w:pPr>
              <w:spacing w:line="360" w:lineRule="exact"/>
              <w:ind w:firstLine="221" w:firstLineChars="100"/>
              <w:jc w:val="center"/>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分  值</w:t>
            </w:r>
          </w:p>
        </w:tc>
        <w:tc>
          <w:tcPr>
            <w:tcW w:w="2201" w:type="dxa"/>
            <w:gridSpan w:val="3"/>
            <w:noWrap w:val="0"/>
            <w:vAlign w:val="center"/>
          </w:tcPr>
          <w:p>
            <w:pPr>
              <w:spacing w:line="360" w:lineRule="exact"/>
              <w:jc w:val="center"/>
              <w:rPr>
                <w:rFonts w:ascii="仿宋_GB2312" w:hAnsi="仿宋_GB2312" w:eastAsia="仿宋_GB2312" w:cs="仿宋_GB2312"/>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48" w:type="dxa"/>
            <w:gridSpan w:val="7"/>
            <w:noWrap w:val="0"/>
            <w:vAlign w:val="center"/>
          </w:tcPr>
          <w:p>
            <w:pPr>
              <w:spacing w:line="360" w:lineRule="exact"/>
              <w:jc w:val="left"/>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国家级一流课程 </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国家级教材建设项目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国家级虚拟仿真实验教学项目</w:t>
            </w:r>
          </w:p>
          <w:p>
            <w:pPr>
              <w:spacing w:line="36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国家级课程思政示范课程</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教育部重点教改项目</w:t>
            </w:r>
          </w:p>
        </w:tc>
        <w:tc>
          <w:tcPr>
            <w:tcW w:w="2343" w:type="dxa"/>
            <w:gridSpan w:val="2"/>
            <w:noWrap w:val="0"/>
            <w:vAlign w:val="center"/>
          </w:tcPr>
          <w:p>
            <w:pPr>
              <w:spacing w:line="36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color w:val="000000"/>
                <w:sz w:val="22"/>
                <w:szCs w:val="22"/>
              </w:rPr>
              <w:t>200</w:t>
            </w:r>
          </w:p>
        </w:tc>
        <w:tc>
          <w:tcPr>
            <w:tcW w:w="2201" w:type="dxa"/>
            <w:gridSpan w:val="3"/>
            <w:noWrap w:val="0"/>
            <w:vAlign w:val="center"/>
          </w:tcPr>
          <w:p>
            <w:pPr>
              <w:spacing w:line="300" w:lineRule="exact"/>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9848" w:type="dxa"/>
            <w:gridSpan w:val="7"/>
            <w:noWrap w:val="0"/>
            <w:vAlign w:val="center"/>
          </w:tcPr>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教育部一般教改项目（新工科、新文科等）</w:t>
            </w:r>
          </w:p>
        </w:tc>
        <w:tc>
          <w:tcPr>
            <w:tcW w:w="2343"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120</w:t>
            </w:r>
          </w:p>
        </w:tc>
        <w:tc>
          <w:tcPr>
            <w:tcW w:w="2201" w:type="dxa"/>
            <w:gridSpan w:val="3"/>
            <w:noWrap w:val="0"/>
            <w:vAlign w:val="center"/>
          </w:tcPr>
          <w:p>
            <w:pPr>
              <w:spacing w:line="360" w:lineRule="exac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9848" w:type="dxa"/>
            <w:gridSpan w:val="7"/>
            <w:noWrap w:val="0"/>
            <w:vAlign w:val="center"/>
          </w:tcPr>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exact"/>
          <w:jc w:val="center"/>
        </w:trPr>
        <w:tc>
          <w:tcPr>
            <w:tcW w:w="5304" w:type="dxa"/>
            <w:gridSpan w:val="2"/>
            <w:noWrap w:val="0"/>
            <w:vAlign w:val="center"/>
          </w:tcPr>
          <w:p>
            <w:pPr>
              <w:spacing w:line="36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省级一流课程</w:t>
            </w:r>
          </w:p>
          <w:p>
            <w:pPr>
              <w:spacing w:line="36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省级课程思政示范课程</w:t>
            </w:r>
          </w:p>
          <w:p>
            <w:pPr>
              <w:spacing w:line="36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w:t>
            </w:r>
            <w:r>
              <w:rPr>
                <w:rFonts w:ascii="仿宋_GB2312" w:hAnsi="仿宋_GB2312" w:eastAsia="仿宋_GB2312" w:cs="仿宋_GB2312"/>
                <w:color w:val="000000"/>
                <w:sz w:val="22"/>
                <w:szCs w:val="22"/>
              </w:rPr>
              <w:t>课程思政案例库</w:t>
            </w:r>
          </w:p>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省级虚拟仿真实验教学项目</w:t>
            </w:r>
          </w:p>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省产教融合工程项目</w:t>
            </w:r>
          </w:p>
        </w:tc>
        <w:tc>
          <w:tcPr>
            <w:tcW w:w="2343"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50</w:t>
            </w:r>
          </w:p>
        </w:tc>
        <w:tc>
          <w:tcPr>
            <w:tcW w:w="2201" w:type="dxa"/>
            <w:gridSpan w:val="3"/>
            <w:noWrap w:val="0"/>
            <w:vAlign w:val="center"/>
          </w:tcPr>
          <w:p>
            <w:pPr>
              <w:spacing w:line="360" w:lineRule="exac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9848" w:type="dxa"/>
            <w:gridSpan w:val="7"/>
            <w:noWrap w:val="0"/>
            <w:vAlign w:val="center"/>
          </w:tcPr>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省级教育教学改革研究项目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省级课程思政教学改革项目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省级教材建设项目</w:t>
            </w:r>
          </w:p>
        </w:tc>
        <w:tc>
          <w:tcPr>
            <w:tcW w:w="2343"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w:t>
            </w:r>
          </w:p>
        </w:tc>
        <w:tc>
          <w:tcPr>
            <w:tcW w:w="2201" w:type="dxa"/>
            <w:gridSpan w:val="3"/>
            <w:noWrap w:val="0"/>
            <w:vAlign w:val="center"/>
          </w:tcPr>
          <w:p>
            <w:pPr>
              <w:spacing w:line="360" w:lineRule="exac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教育部产学合作项目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教育部教指委教改课题</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省级产学合作项目</w:t>
            </w:r>
          </w:p>
        </w:tc>
        <w:tc>
          <w:tcPr>
            <w:tcW w:w="2343"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10-20</w:t>
            </w:r>
          </w:p>
        </w:tc>
        <w:tc>
          <w:tcPr>
            <w:tcW w:w="2201" w:type="dxa"/>
            <w:gridSpan w:val="3"/>
            <w:noWrap w:val="0"/>
            <w:vAlign w:val="center"/>
          </w:tcPr>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根据认定结果确定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48" w:type="dxa"/>
            <w:gridSpan w:val="7"/>
            <w:noWrap w:val="0"/>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b/>
                <w:bCs/>
                <w:sz w:val="22"/>
                <w:szCs w:val="22"/>
              </w:rPr>
              <w:t>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市级一流课程</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市级教材建设项目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市级高等教育教学改革项目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市级虚拟仿真实验教学项目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市级产教融合工程项目</w:t>
            </w:r>
          </w:p>
        </w:tc>
        <w:tc>
          <w:tcPr>
            <w:tcW w:w="2343" w:type="dxa"/>
            <w:gridSpan w:val="2"/>
            <w:noWrap w:val="0"/>
            <w:vAlign w:val="center"/>
          </w:tcPr>
          <w:p>
            <w:pPr>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2201" w:type="dxa"/>
            <w:gridSpan w:val="3"/>
            <w:noWrap w:val="0"/>
            <w:vAlign w:val="center"/>
          </w:tcPr>
          <w:p>
            <w:pPr>
              <w:spacing w:line="360" w:lineRule="exac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48" w:type="dxa"/>
            <w:gridSpan w:val="7"/>
            <w:noWrap w:val="0"/>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b/>
                <w:bCs/>
                <w:sz w:val="22"/>
                <w:szCs w:val="22"/>
              </w:rPr>
              <w:t>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校级一流课程</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校级教材建设项目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校级教改项目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校级虚拟仿真实验教学项目</w:t>
            </w:r>
          </w:p>
          <w:p>
            <w:pPr>
              <w:spacing w:line="3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校级产教融合项目</w:t>
            </w:r>
          </w:p>
          <w:p>
            <w:pPr>
              <w:spacing w:line="3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其他校级项目</w:t>
            </w:r>
          </w:p>
        </w:tc>
        <w:tc>
          <w:tcPr>
            <w:tcW w:w="2343" w:type="dxa"/>
            <w:gridSpan w:val="2"/>
            <w:noWrap w:val="0"/>
            <w:vAlign w:val="center"/>
          </w:tcPr>
          <w:p>
            <w:pPr>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201" w:type="dxa"/>
            <w:gridSpan w:val="3"/>
            <w:noWrap w:val="0"/>
            <w:vAlign w:val="center"/>
          </w:tcPr>
          <w:p>
            <w:pPr>
              <w:spacing w:line="360" w:lineRule="exac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9848" w:type="dxa"/>
            <w:gridSpan w:val="7"/>
            <w:noWrap w:val="0"/>
            <w:vAlign w:val="center"/>
          </w:tcPr>
          <w:p>
            <w:pPr>
              <w:spacing w:line="360" w:lineRule="exact"/>
              <w:jc w:val="center"/>
              <w:rPr>
                <w:rFonts w:ascii="仿宋_GB2312" w:hAnsi="仿宋_GB2312" w:eastAsia="仿宋_GB2312" w:cs="仿宋_GB2312"/>
                <w:b/>
                <w:sz w:val="24"/>
                <w:szCs w:val="20"/>
              </w:rPr>
            </w:pPr>
            <w:r>
              <w:rPr>
                <w:rFonts w:hint="eastAsia" w:ascii="仿宋_GB2312" w:hAnsi="仿宋_GB2312" w:eastAsia="仿宋_GB2312" w:cs="仿宋_GB2312"/>
                <w:b/>
                <w:sz w:val="24"/>
                <w:szCs w:val="20"/>
              </w:rPr>
              <w:t>指 导 学 生 科 研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5304" w:type="dxa"/>
            <w:gridSpan w:val="2"/>
            <w:noWrap w:val="0"/>
            <w:vAlign w:val="center"/>
          </w:tcPr>
          <w:p>
            <w:pPr>
              <w:spacing w:line="360" w:lineRule="exact"/>
              <w:jc w:val="center"/>
              <w:rPr>
                <w:rFonts w:ascii="仿宋_GB2312" w:hAnsi="仿宋_GB2312" w:eastAsia="仿宋_GB2312" w:cs="仿宋_GB2312"/>
                <w:b/>
                <w:sz w:val="24"/>
                <w:szCs w:val="20"/>
              </w:rPr>
            </w:pPr>
            <w:r>
              <w:rPr>
                <w:rFonts w:hint="eastAsia" w:ascii="仿宋_GB2312" w:hAnsi="仿宋_GB2312" w:eastAsia="仿宋_GB2312" w:cs="仿宋_GB2312"/>
                <w:b/>
                <w:bCs/>
                <w:sz w:val="24"/>
                <w:szCs w:val="20"/>
              </w:rPr>
              <w:t>项目类型、级别</w:t>
            </w:r>
          </w:p>
        </w:tc>
        <w:tc>
          <w:tcPr>
            <w:tcW w:w="2343" w:type="dxa"/>
            <w:gridSpan w:val="2"/>
            <w:noWrap w:val="0"/>
            <w:vAlign w:val="center"/>
          </w:tcPr>
          <w:p>
            <w:pPr>
              <w:spacing w:line="360" w:lineRule="exact"/>
              <w:ind w:firstLine="241" w:firstLineChars="100"/>
              <w:jc w:val="center"/>
              <w:rPr>
                <w:rFonts w:ascii="仿宋_GB2312" w:hAnsi="仿宋_GB2312" w:eastAsia="仿宋_GB2312" w:cs="仿宋_GB2312"/>
                <w:b/>
                <w:sz w:val="24"/>
                <w:szCs w:val="20"/>
              </w:rPr>
            </w:pPr>
            <w:r>
              <w:rPr>
                <w:rFonts w:hint="eastAsia" w:ascii="仿宋_GB2312" w:hAnsi="仿宋_GB2312" w:eastAsia="仿宋_GB2312" w:cs="仿宋_GB2312"/>
                <w:b/>
                <w:bCs/>
                <w:sz w:val="24"/>
                <w:szCs w:val="20"/>
              </w:rPr>
              <w:t>分  值</w:t>
            </w:r>
          </w:p>
        </w:tc>
        <w:tc>
          <w:tcPr>
            <w:tcW w:w="2201" w:type="dxa"/>
            <w:gridSpan w:val="3"/>
            <w:noWrap w:val="0"/>
            <w:vAlign w:val="center"/>
          </w:tcPr>
          <w:p>
            <w:pPr>
              <w:spacing w:line="360" w:lineRule="exact"/>
              <w:jc w:val="center"/>
              <w:rPr>
                <w:rFonts w:ascii="仿宋_GB2312" w:hAnsi="仿宋_GB2312" w:eastAsia="仿宋_GB2312" w:cs="仿宋_GB2312"/>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5304" w:type="dxa"/>
            <w:gridSpan w:val="2"/>
            <w:noWrap w:val="0"/>
            <w:vAlign w:val="center"/>
          </w:tcPr>
          <w:p>
            <w:pPr>
              <w:spacing w:line="30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国家级科研创新、创业项目</w:t>
            </w:r>
          </w:p>
        </w:tc>
        <w:tc>
          <w:tcPr>
            <w:tcW w:w="2343" w:type="dxa"/>
            <w:gridSpan w:val="2"/>
            <w:noWrap w:val="0"/>
            <w:vAlign w:val="center"/>
          </w:tcPr>
          <w:p>
            <w:pPr>
              <w:spacing w:line="360" w:lineRule="exact"/>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5</w:t>
            </w:r>
          </w:p>
        </w:tc>
        <w:tc>
          <w:tcPr>
            <w:tcW w:w="2201" w:type="dxa"/>
            <w:gridSpan w:val="3"/>
            <w:noWrap w:val="0"/>
            <w:vAlign w:val="center"/>
          </w:tcPr>
          <w:p>
            <w:pPr>
              <w:spacing w:line="360" w:lineRule="exact"/>
              <w:jc w:val="center"/>
              <w:rPr>
                <w:rFonts w:ascii="仿宋_GB2312" w:hAnsi="仿宋_GB2312"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5304" w:type="dxa"/>
            <w:gridSpan w:val="2"/>
            <w:noWrap w:val="0"/>
            <w:vAlign w:val="center"/>
          </w:tcPr>
          <w:p>
            <w:pPr>
              <w:spacing w:line="30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省级科研创新、创业项目</w:t>
            </w:r>
          </w:p>
        </w:tc>
        <w:tc>
          <w:tcPr>
            <w:tcW w:w="2343" w:type="dxa"/>
            <w:gridSpan w:val="2"/>
            <w:noWrap w:val="0"/>
            <w:vAlign w:val="center"/>
          </w:tcPr>
          <w:p>
            <w:pPr>
              <w:spacing w:line="360" w:lineRule="exact"/>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2-3</w:t>
            </w:r>
          </w:p>
        </w:tc>
        <w:tc>
          <w:tcPr>
            <w:tcW w:w="2201" w:type="dxa"/>
            <w:gridSpan w:val="3"/>
            <w:noWrap w:val="0"/>
            <w:vAlign w:val="center"/>
          </w:tcPr>
          <w:p>
            <w:pPr>
              <w:spacing w:line="360" w:lineRule="exact"/>
              <w:jc w:val="center"/>
              <w:rPr>
                <w:rFonts w:ascii="仿宋_GB2312" w:hAnsi="仿宋_GB2312" w:eastAsia="仿宋_GB2312" w:cs="仿宋_GB2312"/>
                <w:sz w:val="18"/>
                <w:szCs w:val="20"/>
              </w:rPr>
            </w:pPr>
            <w:r>
              <w:rPr>
                <w:rFonts w:hint="eastAsia" w:ascii="仿宋_GB2312" w:hAnsi="仿宋_GB2312" w:eastAsia="仿宋_GB2312" w:cs="仿宋_GB2312"/>
                <w:sz w:val="18"/>
                <w:szCs w:val="20"/>
              </w:rPr>
              <w:t>新苗计划3分，其它2分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5304" w:type="dxa"/>
            <w:gridSpan w:val="2"/>
            <w:noWrap w:val="0"/>
            <w:vAlign w:val="center"/>
          </w:tcPr>
          <w:p>
            <w:pPr>
              <w:spacing w:line="360" w:lineRule="exact"/>
              <w:jc w:val="left"/>
              <w:rPr>
                <w:rFonts w:ascii="仿宋_GB2312" w:hAnsi="仿宋_GB2312" w:eastAsia="仿宋_GB2312" w:cs="仿宋_GB2312"/>
                <w:sz w:val="22"/>
                <w:szCs w:val="20"/>
              </w:rPr>
            </w:pPr>
            <w:r>
              <w:rPr>
                <w:rFonts w:hint="eastAsia" w:ascii="仿宋_GB2312" w:hAnsi="仿宋_GB2312" w:eastAsia="仿宋_GB2312" w:cs="仿宋_GB2312"/>
                <w:sz w:val="22"/>
                <w:szCs w:val="20"/>
              </w:rPr>
              <w:t>校级科研创新、创业、实践项目（实验室开放项目）</w:t>
            </w:r>
          </w:p>
        </w:tc>
        <w:tc>
          <w:tcPr>
            <w:tcW w:w="2343" w:type="dxa"/>
            <w:gridSpan w:val="2"/>
            <w:noWrap w:val="0"/>
            <w:vAlign w:val="center"/>
          </w:tcPr>
          <w:p>
            <w:pPr>
              <w:spacing w:line="360" w:lineRule="exact"/>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1</w:t>
            </w:r>
          </w:p>
        </w:tc>
        <w:tc>
          <w:tcPr>
            <w:tcW w:w="2201" w:type="dxa"/>
            <w:gridSpan w:val="3"/>
            <w:noWrap w:val="0"/>
            <w:vAlign w:val="center"/>
          </w:tcPr>
          <w:p>
            <w:pPr>
              <w:spacing w:line="360" w:lineRule="exact"/>
              <w:jc w:val="center"/>
              <w:rPr>
                <w:rFonts w:ascii="仿宋_GB2312" w:hAnsi="仿宋_GB2312" w:eastAsia="仿宋_GB2312" w:cs="仿宋_GB2312"/>
                <w:sz w:val="24"/>
                <w:szCs w:val="20"/>
              </w:rPr>
            </w:pPr>
          </w:p>
        </w:tc>
      </w:tr>
    </w:tbl>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附表2</w:t>
      </w:r>
    </w:p>
    <w:p>
      <w:pPr>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黑体" w:hAnsi="黑体" w:eastAsia="黑体" w:cs="Times New Roman"/>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_GBK" w:hAnsi="方正小标宋_GBK" w:eastAsia="方正小标宋_GBK" w:cs="方正小标宋_GBK"/>
          <w:bCs/>
          <w:kern w:val="2"/>
          <w:sz w:val="44"/>
          <w:szCs w:val="44"/>
          <w:lang w:val="en-US" w:eastAsia="zh-CN" w:bidi="ar-SA"/>
        </w:rPr>
      </w:pPr>
      <w:r>
        <w:rPr>
          <w:rFonts w:hint="eastAsia" w:ascii="方正小标宋_GBK" w:hAnsi="方正小标宋_GBK" w:eastAsia="方正小标宋_GBK" w:cs="方正小标宋_GBK"/>
          <w:bCs/>
          <w:kern w:val="2"/>
          <w:sz w:val="44"/>
          <w:szCs w:val="44"/>
          <w:lang w:val="en-US" w:eastAsia="zh-CN" w:bidi="ar-SA"/>
        </w:rPr>
        <w:t>温州理工学院学科竞赛等级及教师奖励标准</w:t>
      </w:r>
    </w:p>
    <w:p>
      <w:pPr>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方正小标宋_GBK" w:hAnsi="方正小标宋_GBK" w:eastAsia="方正小标宋_GBK" w:cs="方正小标宋_GBK"/>
          <w:bCs/>
          <w:kern w:val="2"/>
          <w:sz w:val="44"/>
          <w:szCs w:val="44"/>
          <w:lang w:val="en-US" w:eastAsia="zh-CN" w:bidi="ar-SA"/>
        </w:rPr>
      </w:pPr>
    </w:p>
    <w:tbl>
      <w:tblPr>
        <w:tblStyle w:val="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6560"/>
        <w:gridCol w:w="65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16" w:type="dxa"/>
            <w:vMerge w:val="restart"/>
            <w:noWrap w:val="0"/>
            <w:vAlign w:val="center"/>
          </w:tcPr>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竞赛等级</w:t>
            </w:r>
          </w:p>
        </w:tc>
        <w:tc>
          <w:tcPr>
            <w:tcW w:w="6560" w:type="dxa"/>
            <w:vMerge w:val="restart"/>
            <w:noWrap w:val="0"/>
            <w:vAlign w:val="center"/>
          </w:tcPr>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竞赛类别及获奖级别</w:t>
            </w:r>
          </w:p>
        </w:tc>
        <w:tc>
          <w:tcPr>
            <w:tcW w:w="1367" w:type="dxa"/>
            <w:gridSpan w:val="2"/>
            <w:noWrap w:val="0"/>
            <w:vAlign w:val="center"/>
          </w:tcPr>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教师奖励</w:t>
            </w:r>
          </w:p>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16" w:type="dxa"/>
            <w:vMerge w:val="continue"/>
            <w:noWrap w:val="0"/>
            <w:vAlign w:val="center"/>
          </w:tcPr>
          <w:p>
            <w:pPr>
              <w:widowControl/>
              <w:rPr>
                <w:rFonts w:ascii="仿宋_GB2312" w:hAnsi="仿宋_GB2312" w:eastAsia="仿宋_GB2312" w:cs="仿宋_GB2312"/>
                <w:b/>
                <w:bCs/>
                <w:szCs w:val="21"/>
              </w:rPr>
            </w:pPr>
          </w:p>
        </w:tc>
        <w:tc>
          <w:tcPr>
            <w:tcW w:w="6560" w:type="dxa"/>
            <w:vMerge w:val="continue"/>
            <w:noWrap w:val="0"/>
            <w:vAlign w:val="center"/>
          </w:tcPr>
          <w:p>
            <w:pPr>
              <w:widowControl/>
              <w:rPr>
                <w:rFonts w:ascii="仿宋_GB2312" w:hAnsi="仿宋_GB2312" w:eastAsia="仿宋_GB2312" w:cs="仿宋_GB2312"/>
                <w:b/>
                <w:bCs/>
                <w:szCs w:val="21"/>
              </w:rPr>
            </w:pPr>
          </w:p>
        </w:tc>
        <w:tc>
          <w:tcPr>
            <w:tcW w:w="659" w:type="dxa"/>
            <w:noWrap w:val="0"/>
            <w:vAlign w:val="center"/>
          </w:tcPr>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团体项目</w:t>
            </w:r>
          </w:p>
        </w:tc>
        <w:tc>
          <w:tcPr>
            <w:tcW w:w="708" w:type="dxa"/>
            <w:noWrap w:val="0"/>
            <w:vAlign w:val="center"/>
          </w:tcPr>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个人项目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一级</w:t>
            </w:r>
          </w:p>
        </w:tc>
        <w:tc>
          <w:tcPr>
            <w:tcW w:w="6560" w:type="dxa"/>
            <w:noWrap/>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“互联网+”及“挑战杯”创业竞赛全国金奖、“挑战杯”竞赛全国特等奖、国际大学生数学建模竞赛特等奖、ACM全球总决赛获奖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150</w:t>
            </w:r>
          </w:p>
        </w:tc>
        <w:tc>
          <w:tcPr>
            <w:tcW w:w="708" w:type="dxa"/>
            <w:noWrap w:val="0"/>
            <w:vAlign w:val="center"/>
          </w:tcPr>
          <w:p>
            <w:pPr>
              <w:widowControl/>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二级</w:t>
            </w:r>
          </w:p>
        </w:tc>
        <w:tc>
          <w:tcPr>
            <w:tcW w:w="6560" w:type="dxa"/>
            <w:noWrap/>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“互联网+”及“挑战杯”创业竞赛全国银奖、“挑战杯”竞赛全国一等奖、国际大学生数学建模竞赛特等奖提名奖、入围ACM全球总决赛</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708" w:type="dxa"/>
            <w:noWrap w:val="0"/>
            <w:vAlign w:val="center"/>
          </w:tcPr>
          <w:p>
            <w:pPr>
              <w:widowControl/>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三级</w:t>
            </w:r>
          </w:p>
        </w:tc>
        <w:tc>
          <w:tcPr>
            <w:tcW w:w="6560" w:type="dxa"/>
            <w:noWrap/>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 “挑战杯”创业竞赛全国铜奖、“挑战杯”竞赛全国二等奖、一类全国特等奖、全国大学生数学建模竞赛一等奖、全国大学生英语竞赛特等奖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70</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四级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一类全国一等奖、“挑战杯”竞赛全国三等奖、全国大学生数学建模竞赛二等奖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五级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“互联网+”及“挑战杯”创业竞赛浙江省金奖、“挑战杯”竞赛浙江省特等奖、一类全国二等奖、全国大学生数学建模竞赛三等奖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六级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“互联网+”及“挑战杯”创业竞赛浙江省银奖、“挑战杯”竞赛浙江省一等奖、一类全国三等奖、一类省特等奖、二类全国（国际）特等奖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七级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“互联网+”及“挑战杯”创业竞赛浙江省铜奖、“挑战杯”竞赛浙江省二等奖、一类省一等奖、二类全国（国际）一等奖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八级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二类全国（国际）二等奖、三类全国（国际）特等奖、“挑战杯”竞赛浙江省三等奖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九级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一类省二等奖、二类全国（国际）三等奖、三类全国（国际）一等奖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十级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一类省三等奖、二类省（特）一等奖、三类全国（国际）二等奖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十一级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三类全国（国际）三等奖、二类省二等奖、三类省一等奖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十二级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二类省三等奖、三类省二等奖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0.3</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十三级</w:t>
            </w:r>
          </w:p>
        </w:tc>
        <w:tc>
          <w:tcPr>
            <w:tcW w:w="6560" w:type="dxa"/>
            <w:noWrap/>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三类省三等奖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0.1</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0.05</w:t>
            </w:r>
          </w:p>
        </w:tc>
      </w:tr>
    </w:tbl>
    <w:p>
      <w:pPr>
        <w:spacing w:before="156" w:beforeLines="50" w:line="380" w:lineRule="exact"/>
        <w:rPr>
          <w:rFonts w:ascii="仿宋_GB2312" w:hAnsi="等线" w:eastAsia="仿宋_GB2312" w:cs="Times New Roman"/>
          <w:szCs w:val="21"/>
        </w:rPr>
      </w:pPr>
      <w:r>
        <w:rPr>
          <w:rFonts w:hint="eastAsia" w:ascii="仿宋_GB2312" w:hAnsi="等线" w:eastAsia="仿宋_GB2312" w:cs="Times New Roman"/>
          <w:szCs w:val="21"/>
        </w:rPr>
        <w:t>注：</w:t>
      </w:r>
    </w:p>
    <w:p>
      <w:pPr>
        <w:numPr>
          <w:ilvl w:val="0"/>
          <w:numId w:val="0"/>
        </w:numPr>
        <w:autoSpaceDE w:val="0"/>
        <w:autoSpaceDN w:val="0"/>
        <w:spacing w:line="380" w:lineRule="exact"/>
        <w:ind w:leftChars="0" w:firstLine="420" w:firstLineChars="200"/>
        <w:jc w:val="left"/>
        <w:rPr>
          <w:rFonts w:ascii="仿宋_GB2312" w:hAnsi="等线" w:eastAsia="仿宋_GB2312" w:cs="Times New Roman"/>
          <w:szCs w:val="21"/>
        </w:rPr>
      </w:pPr>
      <w:r>
        <w:rPr>
          <w:rFonts w:hint="eastAsia" w:ascii="仿宋_GB2312" w:hAnsi="等线" w:eastAsia="仿宋_GB2312" w:cs="Times New Roman"/>
          <w:szCs w:val="21"/>
          <w:lang w:val="en-US" w:eastAsia="zh-CN"/>
        </w:rPr>
        <w:t>1.</w:t>
      </w:r>
      <w:r>
        <w:rPr>
          <w:rFonts w:hint="eastAsia" w:ascii="仿宋_GB2312" w:hAnsi="等线" w:eastAsia="仿宋_GB2312" w:cs="Times New Roman"/>
          <w:szCs w:val="21"/>
        </w:rPr>
        <w:t>本表的“一类竞赛”中不包含“互联网+”、“挑战杯”竞赛、全国大学生数学建模竞赛。</w:t>
      </w:r>
    </w:p>
    <w:p>
      <w:pPr>
        <w:numPr>
          <w:ilvl w:val="0"/>
          <w:numId w:val="0"/>
        </w:numPr>
        <w:autoSpaceDE w:val="0"/>
        <w:autoSpaceDN w:val="0"/>
        <w:spacing w:line="380" w:lineRule="exact"/>
        <w:ind w:leftChars="0" w:firstLine="420" w:firstLineChars="200"/>
        <w:jc w:val="left"/>
        <w:rPr>
          <w:rFonts w:ascii="仿宋_GB2312" w:hAnsi="等线" w:eastAsia="仿宋_GB2312" w:cs="Times New Roman"/>
          <w:szCs w:val="21"/>
        </w:rPr>
      </w:pPr>
      <w:r>
        <w:rPr>
          <w:rFonts w:hint="eastAsia" w:ascii="仿宋_GB2312" w:hAnsi="等线" w:eastAsia="仿宋_GB2312" w:cs="Times New Roman"/>
          <w:szCs w:val="21"/>
          <w:lang w:val="en-US" w:eastAsia="zh-CN"/>
        </w:rPr>
        <w:t>2.</w:t>
      </w:r>
      <w:r>
        <w:rPr>
          <w:rFonts w:hint="eastAsia" w:ascii="仿宋_GB2312" w:hAnsi="等线" w:eastAsia="仿宋_GB2312" w:cs="Times New Roman"/>
          <w:szCs w:val="21"/>
        </w:rPr>
        <w:t>除“互联网+”和“挑战杯”竞赛外，其他竞赛奖项金奖等同于一等奖，银奖等同于二等奖，铜奖等同于三等奖。</w:t>
      </w:r>
    </w:p>
    <w:p>
      <w:pPr>
        <w:numPr>
          <w:ilvl w:val="0"/>
          <w:numId w:val="0"/>
        </w:numPr>
        <w:autoSpaceDE w:val="0"/>
        <w:autoSpaceDN w:val="0"/>
        <w:spacing w:line="380" w:lineRule="exact"/>
        <w:ind w:leftChars="0" w:firstLine="420" w:firstLineChars="200"/>
        <w:jc w:val="left"/>
        <w:rPr>
          <w:rFonts w:ascii="Times New Roman" w:hAnsi="Times New Roman" w:eastAsia="宋体" w:cs="Times New Roman"/>
          <w:szCs w:val="21"/>
        </w:rPr>
      </w:pPr>
      <w:r>
        <w:rPr>
          <w:rFonts w:hint="eastAsia" w:ascii="仿宋_GB2312" w:hAnsi="等线" w:eastAsia="仿宋_GB2312" w:cs="Times New Roman"/>
          <w:szCs w:val="21"/>
          <w:lang w:val="en-US" w:eastAsia="zh-CN"/>
        </w:rPr>
        <w:t>3.</w:t>
      </w:r>
      <w:r>
        <w:rPr>
          <w:rFonts w:hint="eastAsia" w:ascii="仿宋_GB2312" w:hAnsi="等线" w:eastAsia="仿宋_GB2312" w:cs="Times New Roman"/>
          <w:szCs w:val="21"/>
        </w:rPr>
        <w:t>浙江省高等学校师范生教学技能竞赛所有获奖视为团体奖项。</w:t>
      </w:r>
    </w:p>
    <w:p>
      <w:pPr>
        <w:numPr>
          <w:ilvl w:val="0"/>
          <w:numId w:val="0"/>
        </w:numPr>
        <w:autoSpaceDE w:val="0"/>
        <w:autoSpaceDN w:val="0"/>
        <w:spacing w:line="380" w:lineRule="exact"/>
        <w:ind w:leftChars="0" w:firstLine="420" w:firstLineChars="200"/>
        <w:jc w:val="left"/>
        <w:rPr>
          <w:rFonts w:ascii="仿宋_GB2312" w:hAnsi="等线" w:eastAsia="仿宋_GB2312"/>
          <w:szCs w:val="21"/>
        </w:rPr>
        <w:sectPr>
          <w:footerReference r:id="rId3" w:type="default"/>
          <w:footerReference r:id="rId4" w:type="even"/>
          <w:pgSz w:w="11906" w:h="16838"/>
          <w:pgMar w:top="1440" w:right="1588" w:bottom="1440" w:left="1588" w:header="851" w:footer="850" w:gutter="0"/>
          <w:pgNumType w:fmt="decimal"/>
          <w:cols w:space="720" w:num="1"/>
          <w:docGrid w:type="lines" w:linePitch="312" w:charSpace="0"/>
        </w:sectPr>
      </w:pPr>
      <w:r>
        <w:rPr>
          <w:rFonts w:hint="eastAsia" w:ascii="仿宋_GB2312" w:hAnsi="等线" w:eastAsia="仿宋_GB2312" w:cs="Times New Roman"/>
          <w:szCs w:val="21"/>
          <w:lang w:val="en-US" w:eastAsia="zh-CN"/>
        </w:rPr>
        <w:t>4.</w:t>
      </w:r>
      <w:r>
        <w:rPr>
          <w:rFonts w:hint="eastAsia" w:ascii="仿宋_GB2312" w:hAnsi="等线" w:eastAsia="仿宋_GB2312" w:cs="Times New Roman"/>
          <w:szCs w:val="21"/>
        </w:rPr>
        <w:t>三类竞赛奖励须结合《温州理工学院学科竞赛管理办法》条款发放。</w:t>
      </w:r>
    </w:p>
    <w:p>
      <w:pPr>
        <w:widowControl w:val="0"/>
        <w:spacing w:before="4" w:line="350" w:lineRule="auto"/>
        <w:ind w:right="275"/>
        <w:jc w:val="both"/>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附表3</w:t>
      </w:r>
    </w:p>
    <w:p>
      <w:pPr>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黑体" w:hAnsi="黑体" w:eastAsia="黑体" w:cs="Times New Roman"/>
          <w:bCs/>
          <w:kern w:val="2"/>
          <w:sz w:val="32"/>
          <w:szCs w:val="32"/>
          <w:lang w:val="en-US" w:eastAsia="zh-CN" w:bidi="ar-SA"/>
        </w:rPr>
      </w:pPr>
    </w:p>
    <w:p>
      <w:pPr>
        <w:widowControl w:val="0"/>
        <w:spacing w:before="4" w:line="350" w:lineRule="auto"/>
        <w:ind w:right="275"/>
        <w:jc w:val="center"/>
        <w:rPr>
          <w:rFonts w:hint="eastAsia" w:ascii="方正小标宋_GBK" w:hAnsi="方正小标宋_GBK" w:eastAsia="方正小标宋_GBK" w:cs="方正小标宋_GBK"/>
          <w:bCs/>
          <w:kern w:val="2"/>
          <w:sz w:val="44"/>
          <w:szCs w:val="44"/>
          <w:lang w:val="en-US" w:eastAsia="zh-CN" w:bidi="ar-SA"/>
        </w:rPr>
      </w:pPr>
      <w:r>
        <w:rPr>
          <w:rFonts w:hint="eastAsia" w:ascii="方正小标宋_GBK" w:hAnsi="方正小标宋_GBK" w:eastAsia="方正小标宋_GBK" w:cs="方正小标宋_GBK"/>
          <w:bCs/>
          <w:kern w:val="2"/>
          <w:sz w:val="44"/>
          <w:szCs w:val="44"/>
          <w:lang w:val="en-US" w:eastAsia="zh-CN" w:bidi="ar-SA"/>
        </w:rPr>
        <w:t>多人合作分享成果系数</w:t>
      </w:r>
    </w:p>
    <w:p>
      <w:pPr>
        <w:keepNext w:val="0"/>
        <w:keepLines w:val="0"/>
        <w:pageBreakBefore w:val="0"/>
        <w:widowControl w:val="0"/>
        <w:kinsoku/>
        <w:wordWrap/>
        <w:overflowPunct/>
        <w:topLinePunct w:val="0"/>
        <w:autoSpaceDE/>
        <w:autoSpaceDN/>
        <w:bidi w:val="0"/>
        <w:adjustRightInd/>
        <w:snapToGrid/>
        <w:spacing w:before="4" w:line="300" w:lineRule="exact"/>
        <w:ind w:right="278"/>
        <w:jc w:val="center"/>
        <w:textAlignment w:val="auto"/>
        <w:rPr>
          <w:rFonts w:hint="eastAsia" w:ascii="方正小标宋_GBK" w:hAnsi="方正小标宋_GBK" w:eastAsia="方正小标宋_GBK" w:cs="方正小标宋_GBK"/>
          <w:bCs/>
          <w:kern w:val="2"/>
          <w:sz w:val="44"/>
          <w:szCs w:val="44"/>
          <w:lang w:val="en-US" w:eastAsia="zh-CN" w:bidi="ar-SA"/>
        </w:rPr>
      </w:pPr>
    </w:p>
    <w:tbl>
      <w:tblPr>
        <w:tblStyle w:val="7"/>
        <w:tblW w:w="14023"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5"/>
        <w:gridCol w:w="602"/>
        <w:gridCol w:w="352"/>
        <w:gridCol w:w="353"/>
        <w:gridCol w:w="353"/>
        <w:gridCol w:w="351"/>
        <w:gridCol w:w="353"/>
        <w:gridCol w:w="353"/>
        <w:gridCol w:w="353"/>
        <w:gridCol w:w="351"/>
        <w:gridCol w:w="353"/>
        <w:gridCol w:w="353"/>
        <w:gridCol w:w="353"/>
        <w:gridCol w:w="351"/>
        <w:gridCol w:w="353"/>
        <w:gridCol w:w="353"/>
        <w:gridCol w:w="353"/>
        <w:gridCol w:w="351"/>
        <w:gridCol w:w="353"/>
        <w:gridCol w:w="353"/>
        <w:gridCol w:w="353"/>
        <w:gridCol w:w="351"/>
        <w:gridCol w:w="353"/>
        <w:gridCol w:w="353"/>
        <w:gridCol w:w="353"/>
        <w:gridCol w:w="351"/>
        <w:gridCol w:w="353"/>
        <w:gridCol w:w="353"/>
        <w:gridCol w:w="353"/>
        <w:gridCol w:w="351"/>
        <w:gridCol w:w="353"/>
        <w:gridCol w:w="353"/>
        <w:gridCol w:w="353"/>
        <w:gridCol w:w="351"/>
        <w:gridCol w:w="353"/>
        <w:gridCol w:w="353"/>
        <w:gridCol w:w="3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5" w:hRule="atLeast"/>
          <w:jc w:val="center"/>
        </w:trPr>
        <w:tc>
          <w:tcPr>
            <w:tcW w:w="1085" w:type="dxa"/>
            <w:tcBorders>
              <w:bottom w:val="single" w:color="000000" w:sz="2" w:space="0"/>
              <w:right w:val="single" w:color="000000" w:sz="2" w:space="0"/>
            </w:tcBorders>
            <w:noWrap w:val="0"/>
            <w:vAlign w:val="center"/>
          </w:tcPr>
          <w:p>
            <w:pPr>
              <w:pStyle w:val="14"/>
              <w:spacing w:before="0"/>
              <w:ind w:left="214" w:right="180"/>
              <w:rPr>
                <w:rFonts w:ascii="仿宋_GB2312" w:hAnsi="仿宋_GB2312" w:eastAsia="仿宋_GB2312" w:cs="仿宋_GB2312"/>
                <w:b/>
                <w:sz w:val="21"/>
                <w:szCs w:val="21"/>
              </w:rPr>
            </w:pPr>
            <w:r>
              <w:rPr>
                <w:rFonts w:hint="eastAsia" w:ascii="仿宋_GB2312" w:hAnsi="仿宋_GB2312" w:eastAsia="仿宋_GB2312" w:cs="仿宋_GB2312"/>
                <w:b/>
                <w:sz w:val="21"/>
                <w:szCs w:val="21"/>
              </w:rPr>
              <w:t>总人数</w:t>
            </w:r>
          </w:p>
        </w:tc>
        <w:tc>
          <w:tcPr>
            <w:tcW w:w="602" w:type="dxa"/>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1</w:t>
            </w:r>
          </w:p>
        </w:tc>
        <w:tc>
          <w:tcPr>
            <w:tcW w:w="705" w:type="dxa"/>
            <w:gridSpan w:val="2"/>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2</w:t>
            </w:r>
          </w:p>
        </w:tc>
        <w:tc>
          <w:tcPr>
            <w:tcW w:w="1057" w:type="dxa"/>
            <w:gridSpan w:val="3"/>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3</w:t>
            </w:r>
          </w:p>
        </w:tc>
        <w:tc>
          <w:tcPr>
            <w:tcW w:w="1410" w:type="dxa"/>
            <w:gridSpan w:val="4"/>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4</w:t>
            </w:r>
          </w:p>
        </w:tc>
        <w:tc>
          <w:tcPr>
            <w:tcW w:w="1763" w:type="dxa"/>
            <w:gridSpan w:val="5"/>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5</w:t>
            </w:r>
          </w:p>
        </w:tc>
        <w:tc>
          <w:tcPr>
            <w:tcW w:w="2114" w:type="dxa"/>
            <w:gridSpan w:val="6"/>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6</w:t>
            </w:r>
          </w:p>
        </w:tc>
        <w:tc>
          <w:tcPr>
            <w:tcW w:w="2469" w:type="dxa"/>
            <w:gridSpan w:val="7"/>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7</w:t>
            </w:r>
          </w:p>
        </w:tc>
        <w:tc>
          <w:tcPr>
            <w:tcW w:w="2818" w:type="dxa"/>
            <w:gridSpan w:val="8"/>
            <w:tcBorders>
              <w:left w:val="single" w:color="000000" w:sz="2" w:space="0"/>
              <w:bottom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宋体" w:hAnsi="宋体" w:eastAsia="宋体" w:cs="宋体"/>
                <w:b/>
                <w:w w:val="99"/>
                <w:sz w:val="21"/>
                <w:szCs w:val="21"/>
              </w:rPr>
              <w:t>≧</w:t>
            </w:r>
            <w:r>
              <w:rPr>
                <w:rFonts w:hint="eastAsia" w:ascii="仿宋_GB2312" w:hAnsi="仿宋_GB2312" w:eastAsia="仿宋_GB2312" w:cs="仿宋_GB2312"/>
                <w:b/>
                <w:w w:val="99"/>
                <w:sz w:val="21"/>
                <w:szCs w:val="21"/>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5" w:hRule="atLeast"/>
          <w:jc w:val="center"/>
        </w:trPr>
        <w:tc>
          <w:tcPr>
            <w:tcW w:w="1085" w:type="dxa"/>
            <w:tcBorders>
              <w:top w:val="single" w:color="000000" w:sz="2" w:space="0"/>
              <w:bottom w:val="single" w:color="000000" w:sz="2" w:space="0"/>
              <w:right w:val="single" w:color="000000" w:sz="2" w:space="0"/>
            </w:tcBorders>
            <w:noWrap w:val="0"/>
            <w:vAlign w:val="center"/>
          </w:tcPr>
          <w:p>
            <w:pPr>
              <w:pStyle w:val="14"/>
              <w:spacing w:before="0"/>
              <w:ind w:left="214" w:right="178"/>
              <w:rPr>
                <w:rFonts w:ascii="仿宋_GB2312" w:hAnsi="仿宋_GB2312" w:eastAsia="仿宋_GB2312" w:cs="仿宋_GB2312"/>
                <w:b/>
                <w:sz w:val="21"/>
                <w:szCs w:val="21"/>
              </w:rPr>
            </w:pPr>
            <w:r>
              <w:rPr>
                <w:rFonts w:hint="eastAsia" w:ascii="仿宋_GB2312" w:hAnsi="仿宋_GB2312" w:eastAsia="仿宋_GB2312" w:cs="仿宋_GB2312"/>
                <w:b/>
                <w:sz w:val="21"/>
                <w:szCs w:val="21"/>
              </w:rPr>
              <w:t>排序</w:t>
            </w:r>
          </w:p>
        </w:tc>
        <w:tc>
          <w:tcPr>
            <w:tcW w:w="602"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8"/>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2"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4"/>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40"/>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1"/>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6"/>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0"/>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7"/>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0"/>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5"/>
              <w:rPr>
                <w:rFonts w:ascii="仿宋_GB2312" w:hAnsi="仿宋_GB2312" w:eastAsia="仿宋_GB2312" w:cs="仿宋_GB2312"/>
                <w:sz w:val="21"/>
                <w:szCs w:val="21"/>
              </w:rPr>
            </w:pPr>
            <w:r>
              <w:rPr>
                <w:rFonts w:hint="eastAsia" w:ascii="仿宋_GB2312" w:hAnsi="仿宋_GB2312" w:eastAsia="仿宋_GB2312" w:cs="仿宋_GB2312"/>
                <w:w w:val="99"/>
                <w:sz w:val="21"/>
                <w:szCs w:val="21"/>
              </w:rPr>
              <w:t>4</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1"/>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39"/>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8"/>
              <w:rPr>
                <w:rFonts w:ascii="仿宋_GB2312" w:hAnsi="仿宋_GB2312" w:eastAsia="仿宋_GB2312" w:cs="仿宋_GB2312"/>
                <w:sz w:val="21"/>
                <w:szCs w:val="21"/>
              </w:rPr>
            </w:pPr>
            <w:r>
              <w:rPr>
                <w:rFonts w:hint="eastAsia" w:ascii="仿宋_GB2312" w:hAnsi="仿宋_GB2312" w:eastAsia="仿宋_GB2312" w:cs="仿宋_GB2312"/>
                <w:w w:val="99"/>
                <w:sz w:val="21"/>
                <w:szCs w:val="21"/>
              </w:rPr>
              <w:t>4</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right="100"/>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0"/>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39"/>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40"/>
              <w:rPr>
                <w:rFonts w:ascii="仿宋_GB2312" w:hAnsi="仿宋_GB2312" w:eastAsia="仿宋_GB2312" w:cs="仿宋_GB2312"/>
                <w:sz w:val="21"/>
                <w:szCs w:val="21"/>
              </w:rPr>
            </w:pPr>
            <w:r>
              <w:rPr>
                <w:rFonts w:hint="eastAsia" w:ascii="仿宋_GB2312" w:hAnsi="仿宋_GB2312" w:eastAsia="仿宋_GB2312" w:cs="仿宋_GB2312"/>
                <w:w w:val="99"/>
                <w:sz w:val="21"/>
                <w:szCs w:val="21"/>
              </w:rPr>
              <w:t>4</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6"/>
              <w:rPr>
                <w:rFonts w:ascii="仿宋_GB2312" w:hAnsi="仿宋_GB2312" w:eastAsia="仿宋_GB2312" w:cs="仿宋_GB2312"/>
                <w:sz w:val="21"/>
                <w:szCs w:val="21"/>
              </w:rPr>
            </w:pPr>
            <w:r>
              <w:rPr>
                <w:rFonts w:hint="eastAsia" w:ascii="仿宋_GB2312" w:hAnsi="仿宋_GB2312" w:eastAsia="仿宋_GB2312" w:cs="仿宋_GB2312"/>
                <w:w w:val="99"/>
                <w:sz w:val="21"/>
                <w:szCs w:val="21"/>
              </w:rPr>
              <w:t>6</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8"/>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0"/>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7"/>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4</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5"/>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40"/>
              <w:rPr>
                <w:rFonts w:ascii="仿宋_GB2312" w:hAnsi="仿宋_GB2312" w:eastAsia="仿宋_GB2312" w:cs="仿宋_GB2312"/>
                <w:sz w:val="21"/>
                <w:szCs w:val="21"/>
              </w:rPr>
            </w:pPr>
            <w:r>
              <w:rPr>
                <w:rFonts w:hint="eastAsia" w:ascii="仿宋_GB2312" w:hAnsi="仿宋_GB2312" w:eastAsia="仿宋_GB2312" w:cs="仿宋_GB2312"/>
                <w:w w:val="99"/>
                <w:sz w:val="21"/>
                <w:szCs w:val="21"/>
              </w:rPr>
              <w:t>6</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7</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6"/>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0"/>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right="100"/>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7"/>
              <w:rPr>
                <w:rFonts w:ascii="仿宋_GB2312" w:hAnsi="仿宋_GB2312" w:eastAsia="仿宋_GB2312" w:cs="仿宋_GB2312"/>
                <w:sz w:val="21"/>
                <w:szCs w:val="21"/>
              </w:rPr>
            </w:pPr>
            <w:r>
              <w:rPr>
                <w:rFonts w:hint="eastAsia" w:ascii="仿宋_GB2312" w:hAnsi="仿宋_GB2312" w:eastAsia="仿宋_GB2312" w:cs="仿宋_GB2312"/>
                <w:w w:val="99"/>
                <w:sz w:val="21"/>
                <w:szCs w:val="21"/>
              </w:rPr>
              <w:t>4</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5"/>
              <w:rPr>
                <w:rFonts w:ascii="仿宋_GB2312" w:hAnsi="仿宋_GB2312" w:eastAsia="仿宋_GB2312" w:cs="仿宋_GB2312"/>
                <w:sz w:val="21"/>
                <w:szCs w:val="21"/>
              </w:rPr>
            </w:pPr>
            <w:r>
              <w:rPr>
                <w:rFonts w:hint="eastAsia" w:ascii="仿宋_GB2312" w:hAnsi="仿宋_GB2312" w:eastAsia="仿宋_GB2312" w:cs="仿宋_GB2312"/>
                <w:w w:val="99"/>
                <w:sz w:val="21"/>
                <w:szCs w:val="21"/>
              </w:rPr>
              <w:t>6</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7</w:t>
            </w:r>
          </w:p>
        </w:tc>
        <w:tc>
          <w:tcPr>
            <w:tcW w:w="351" w:type="dxa"/>
            <w:tcBorders>
              <w:top w:val="single" w:color="000000" w:sz="2" w:space="0"/>
              <w:left w:val="single" w:color="000000" w:sz="2" w:space="0"/>
              <w:bottom w:val="single" w:color="000000" w:sz="2" w:space="0"/>
            </w:tcBorders>
            <w:noWrap w:val="0"/>
            <w:vAlign w:val="center"/>
          </w:tcPr>
          <w:p>
            <w:pPr>
              <w:pStyle w:val="14"/>
              <w:spacing w:before="0"/>
              <w:ind w:left="4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4" w:hRule="atLeast"/>
          <w:jc w:val="center"/>
        </w:trPr>
        <w:tc>
          <w:tcPr>
            <w:tcW w:w="1085" w:type="dxa"/>
            <w:tcBorders>
              <w:top w:val="single" w:color="000000" w:sz="2" w:space="0"/>
              <w:right w:val="single" w:color="000000" w:sz="2" w:space="0"/>
            </w:tcBorders>
            <w:noWrap w:val="0"/>
            <w:vAlign w:val="center"/>
          </w:tcPr>
          <w:p>
            <w:pPr>
              <w:pStyle w:val="14"/>
              <w:spacing w:before="56" w:line="249" w:lineRule="auto"/>
              <w:ind w:left="250" w:right="164" w:firstLine="100"/>
              <w:jc w:val="left"/>
              <w:rPr>
                <w:rFonts w:ascii="仿宋_GB2312" w:hAnsi="仿宋_GB2312" w:eastAsia="仿宋_GB2312" w:cs="仿宋_GB2312"/>
                <w:b/>
                <w:sz w:val="21"/>
                <w:szCs w:val="21"/>
              </w:rPr>
            </w:pPr>
            <w:r>
              <w:rPr>
                <w:rFonts w:hint="eastAsia" w:ascii="仿宋_GB2312" w:hAnsi="仿宋_GB2312" w:eastAsia="仿宋_GB2312" w:cs="仿宋_GB2312"/>
                <w:b/>
                <w:sz w:val="21"/>
                <w:szCs w:val="21"/>
              </w:rPr>
              <w:t>所占比例%</w:t>
            </w:r>
          </w:p>
        </w:tc>
        <w:tc>
          <w:tcPr>
            <w:tcW w:w="602" w:type="dxa"/>
            <w:tcBorders>
              <w:top w:val="single" w:color="000000" w:sz="2" w:space="0"/>
              <w:left w:val="single" w:color="000000" w:sz="2" w:space="0"/>
              <w:right w:val="single" w:color="000000" w:sz="2" w:space="0"/>
            </w:tcBorders>
            <w:noWrap w:val="0"/>
            <w:vAlign w:val="center"/>
          </w:tcPr>
          <w:p>
            <w:pPr>
              <w:pStyle w:val="14"/>
              <w:spacing w:before="0"/>
              <w:ind w:left="141" w:right="101"/>
              <w:rPr>
                <w:rFonts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352" w:type="dxa"/>
            <w:tcBorders>
              <w:top w:val="single" w:color="000000" w:sz="2" w:space="0"/>
              <w:left w:val="single" w:color="000000" w:sz="2" w:space="0"/>
              <w:right w:val="single" w:color="000000" w:sz="2" w:space="0"/>
            </w:tcBorders>
            <w:noWrap w:val="0"/>
            <w:vAlign w:val="center"/>
          </w:tcPr>
          <w:p>
            <w:pPr>
              <w:pStyle w:val="14"/>
              <w:spacing w:before="0"/>
              <w:ind w:left="69" w:right="27"/>
              <w:rPr>
                <w:rFonts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6"/>
              <w:rPr>
                <w:rFonts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3"/>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66" w:right="27"/>
              <w:rPr>
                <w:rFonts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2"/>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8"/>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2"/>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67" w:right="26"/>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6" w:right="28"/>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3"/>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6"/>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91"/>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8"/>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right="100"/>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2"/>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67" w:right="26"/>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1"/>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6"/>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36"/>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8"/>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2"/>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7" w:right="28"/>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35"/>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40"/>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66" w:right="27"/>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2"/>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right="50"/>
              <w:jc w:val="right"/>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37"/>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35"/>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1" w:type="dxa"/>
            <w:tcBorders>
              <w:top w:val="single" w:color="000000" w:sz="2" w:space="0"/>
              <w:left w:val="single" w:color="000000" w:sz="2" w:space="0"/>
            </w:tcBorders>
            <w:noWrap w:val="0"/>
            <w:vAlign w:val="center"/>
          </w:tcPr>
          <w:p>
            <w:pPr>
              <w:pStyle w:val="14"/>
              <w:spacing w:before="0"/>
              <w:ind w:left="4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r>
    </w:tbl>
    <w:p>
      <w:pPr>
        <w:widowControl/>
        <w:spacing w:before="156" w:beforeLines="50" w:line="380" w:lineRule="exact"/>
        <w:rPr>
          <w:rFonts w:ascii="仿宋_GB2312" w:hAnsi="Times New Roman" w:eastAsia="仿宋_GB2312" w:cs="Times New Roman"/>
          <w:szCs w:val="21"/>
        </w:rPr>
      </w:pPr>
      <w:r>
        <w:rPr>
          <w:rFonts w:hint="eastAsia" w:ascii="仿宋_GB2312" w:hAnsi="Times New Roman" w:eastAsia="仿宋_GB2312" w:cs="Times New Roman"/>
          <w:szCs w:val="21"/>
        </w:rPr>
        <w:t>注：</w:t>
      </w:r>
    </w:p>
    <w:p>
      <w:pPr>
        <w:widowControl/>
        <w:spacing w:before="156" w:beforeLines="50" w:line="380" w:lineRule="exact"/>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1.一流专业、实验教学示范中心等综合性教学建设与研究项目，由项目归属单位会同项目负责人（主持人）根据项目组成员的实际工作贡献情况，参照本表共同制定分配方案后执行。</w:t>
      </w:r>
    </w:p>
    <w:p>
      <w:pPr>
        <w:widowControl/>
        <w:spacing w:before="156" w:beforeLines="50" w:line="380" w:lineRule="exact"/>
        <w:ind w:firstLine="420" w:firstLineChars="200"/>
        <w:rPr>
          <w:rFonts w:ascii="仿宋_GB2312" w:hAnsi="Times New Roman" w:eastAsia="仿宋_GB2312" w:cs="Times New Roman"/>
          <w:b/>
          <w:szCs w:val="21"/>
        </w:rPr>
      </w:pPr>
      <w:r>
        <w:rPr>
          <w:rFonts w:hint="eastAsia" w:ascii="仿宋_GB2312" w:hAnsi="Times New Roman" w:eastAsia="仿宋_GB2312" w:cs="Times New Roman"/>
          <w:szCs w:val="21"/>
        </w:rPr>
        <w:t>2.其它类型的教学建设与研究多人合作成果，由该成果负责人（主持人）会同团队成员，根据成员的实际工作情况，参照本表进行成员业绩分配</w:t>
      </w:r>
      <w:r>
        <w:rPr>
          <w:rFonts w:hint="eastAsia" w:ascii="仿宋_GB2312" w:hAnsi="Times New Roman" w:eastAsia="仿宋_GB2312" w:cs="Times New Roman"/>
          <w:b/>
          <w:szCs w:val="21"/>
        </w:rPr>
        <w:t>。</w:t>
      </w:r>
    </w:p>
    <w:p>
      <w:pPr>
        <w:widowControl/>
        <w:spacing w:before="156" w:beforeLines="50" w:line="380" w:lineRule="exact"/>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3.业绩分配结果计入教师教学工作业绩考核。</w:t>
      </w:r>
    </w:p>
    <w:p>
      <w:pPr>
        <w:spacing w:line="276" w:lineRule="auto"/>
        <w:ind w:firstLine="480" w:firstLineChars="200"/>
        <w:jc w:val="left"/>
        <w:rPr>
          <w:rFonts w:hint="eastAsia" w:ascii="仿宋_GB2312" w:hAnsi="宋体" w:eastAsia="仿宋_GB2312" w:cs="宋体"/>
          <w:bCs/>
          <w:color w:val="000000"/>
          <w:kern w:val="0"/>
          <w:sz w:val="24"/>
          <w:szCs w:val="32"/>
        </w:rPr>
      </w:pPr>
    </w:p>
    <w:p>
      <w:pPr>
        <w:rPr>
          <w:rFonts w:ascii="仿宋_GB2312" w:eastAsia="仿宋_GB2312"/>
          <w:sz w:val="32"/>
          <w:szCs w:val="28"/>
        </w:rPr>
      </w:pPr>
    </w:p>
    <w:p>
      <w:pPr>
        <w:rPr>
          <w:rFonts w:ascii="仿宋_GB2312" w:eastAsia="仿宋_GB2312"/>
          <w:sz w:val="32"/>
          <w:szCs w:val="28"/>
        </w:rPr>
      </w:pPr>
    </w:p>
    <w:p>
      <w:pPr>
        <w:rPr>
          <w:rFonts w:ascii="仿宋_GB2312" w:eastAsia="仿宋_GB2312"/>
          <w:sz w:val="32"/>
          <w:szCs w:val="28"/>
        </w:rPr>
        <w:sectPr>
          <w:footerReference r:id="rId5" w:type="default"/>
          <w:pgSz w:w="16838" w:h="11906" w:orient="landscape"/>
          <w:pgMar w:top="1800" w:right="1440" w:bottom="1800" w:left="1440" w:header="851" w:footer="992" w:gutter="0"/>
          <w:pgNumType w:fmt="decimal"/>
          <w:cols w:space="425" w:num="1"/>
          <w:docGrid w:type="lines" w:linePitch="312" w:charSpace="0"/>
        </w:sectPr>
      </w:pPr>
    </w:p>
    <w:tbl>
      <w:tblPr>
        <w:tblStyle w:val="7"/>
        <w:tblpPr w:leftFromText="180" w:rightFromText="180" w:vertAnchor="text" w:horzAnchor="page" w:tblpX="1930" w:tblpY="13162"/>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500" w:lineRule="exact"/>
              <w:ind w:right="0"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rPr>
          <w:rFonts w:ascii="仿宋_GB2312" w:eastAsia="仿宋_GB2312"/>
          <w:sz w:val="32"/>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imes New Roman" w:hAnsi="Times New Roman" w:eastAsia="宋体" w:cs="Times New Roman"/>
        <w:kern w:val="2"/>
        <w:sz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b w:val="0"/>
                              <w:bCs w:val="0"/>
                              <w:sz w:val="24"/>
                              <w:szCs w:val="24"/>
                            </w:rPr>
                          </w:pPr>
                          <w:r>
                            <w:rPr>
                              <w:b w:val="0"/>
                              <w:bCs w:val="0"/>
                              <w:sz w:val="24"/>
                              <w:szCs w:val="24"/>
                            </w:rPr>
                            <w:t xml:space="preserve">— </w:t>
                          </w:r>
                          <w:r>
                            <w:rPr>
                              <w:b w:val="0"/>
                              <w:bCs w:val="0"/>
                              <w:sz w:val="24"/>
                              <w:szCs w:val="24"/>
                            </w:rPr>
                            <w:fldChar w:fldCharType="begin"/>
                          </w:r>
                          <w:r>
                            <w:rPr>
                              <w:b w:val="0"/>
                              <w:bCs w:val="0"/>
                              <w:sz w:val="24"/>
                              <w:szCs w:val="24"/>
                            </w:rPr>
                            <w:instrText xml:space="preserve"> PAGE  \* MERGEFORMAT </w:instrText>
                          </w:r>
                          <w:r>
                            <w:rPr>
                              <w:b w:val="0"/>
                              <w:bCs w:val="0"/>
                              <w:sz w:val="24"/>
                              <w:szCs w:val="24"/>
                            </w:rPr>
                            <w:fldChar w:fldCharType="separate"/>
                          </w:r>
                          <w:r>
                            <w:rPr>
                              <w:b w:val="0"/>
                              <w:bCs w:val="0"/>
                              <w:sz w:val="24"/>
                              <w:szCs w:val="24"/>
                            </w:rPr>
                            <w:t>- 1 -</w:t>
                          </w:r>
                          <w:r>
                            <w:rPr>
                              <w:b w:val="0"/>
                              <w:bCs w:val="0"/>
                              <w:sz w:val="24"/>
                              <w:szCs w:val="24"/>
                            </w:rPr>
                            <w:fldChar w:fldCharType="end"/>
                          </w:r>
                          <w:r>
                            <w:rPr>
                              <w:b w:val="0"/>
                              <w:bCs w:val="0"/>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0288;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lojKDTAAAABw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5"/>
                      <w:rPr>
                        <w:b w:val="0"/>
                        <w:bCs w:val="0"/>
                        <w:sz w:val="24"/>
                        <w:szCs w:val="24"/>
                      </w:rPr>
                    </w:pPr>
                    <w:r>
                      <w:rPr>
                        <w:b w:val="0"/>
                        <w:bCs w:val="0"/>
                        <w:sz w:val="24"/>
                        <w:szCs w:val="24"/>
                      </w:rPr>
                      <w:t xml:space="preserve">— </w:t>
                    </w:r>
                    <w:r>
                      <w:rPr>
                        <w:b w:val="0"/>
                        <w:bCs w:val="0"/>
                        <w:sz w:val="24"/>
                        <w:szCs w:val="24"/>
                      </w:rPr>
                      <w:fldChar w:fldCharType="begin"/>
                    </w:r>
                    <w:r>
                      <w:rPr>
                        <w:b w:val="0"/>
                        <w:bCs w:val="0"/>
                        <w:sz w:val="24"/>
                        <w:szCs w:val="24"/>
                      </w:rPr>
                      <w:instrText xml:space="preserve"> PAGE  \* MERGEFORMAT </w:instrText>
                    </w:r>
                    <w:r>
                      <w:rPr>
                        <w:b w:val="0"/>
                        <w:bCs w:val="0"/>
                        <w:sz w:val="24"/>
                        <w:szCs w:val="24"/>
                      </w:rPr>
                      <w:fldChar w:fldCharType="separate"/>
                    </w:r>
                    <w:r>
                      <w:rPr>
                        <w:b w:val="0"/>
                        <w:bCs w:val="0"/>
                        <w:sz w:val="24"/>
                        <w:szCs w:val="24"/>
                      </w:rPr>
                      <w:t>- 1 -</w:t>
                    </w:r>
                    <w:r>
                      <w:rPr>
                        <w:b w:val="0"/>
                        <w:bCs w:val="0"/>
                        <w:sz w:val="24"/>
                        <w:szCs w:val="24"/>
                      </w:rPr>
                      <w:fldChar w:fldCharType="end"/>
                    </w:r>
                    <w:r>
                      <w:rPr>
                        <w:b w:val="0"/>
                        <w:bCs w:val="0"/>
                        <w:sz w:val="24"/>
                        <w:szCs w:val="24"/>
                      </w:rPr>
                      <w:t xml:space="preserve"> —</w:t>
                    </w:r>
                  </w:p>
                </w:txbxContent>
              </v:textbox>
            </v:shape>
          </w:pict>
        </mc:Fallback>
      </mc:AlternateContent>
    </w:r>
  </w:p>
  <w:p>
    <w:pPr>
      <w:widowControl w:val="0"/>
      <w:spacing w:line="14" w:lineRule="auto"/>
      <w:jc w:val="center"/>
      <w:rPr>
        <w:rFonts w:ascii="Calibri" w:hAnsi="Calibri" w:eastAsia="宋体" w:cs="Times New Roman"/>
        <w:kern w:val="2"/>
        <w:sz w:val="20"/>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28"/>
        <w:lang w:val="en-US" w:eastAsia="zh-CN" w:bidi="ar-SA"/>
      </w:rPr>
    </w:pPr>
    <w:r>
      <w:rPr>
        <w:rFonts w:ascii="Times New Roman" w:hAnsi="Times New Roman" w:eastAsia="宋体" w:cs="Times New Roman"/>
        <w:kern w:val="2"/>
        <w:sz w:val="28"/>
        <w:lang w:val="en-US" w:eastAsia="zh-CN" w:bidi="ar-SA"/>
      </w:rPr>
      <w:fldChar w:fldCharType="begin"/>
    </w:r>
    <w:r>
      <w:rPr>
        <w:rFonts w:ascii="Times New Roman" w:hAnsi="Times New Roman" w:eastAsia="宋体" w:cs="Times New Roman"/>
        <w:kern w:val="2"/>
        <w:sz w:val="28"/>
        <w:lang w:val="en-US" w:eastAsia="zh-CN" w:bidi="ar-SA"/>
      </w:rPr>
      <w:instrText xml:space="preserve">PAGE   \* MERGEFORMAT</w:instrText>
    </w:r>
    <w:r>
      <w:rPr>
        <w:rFonts w:ascii="Times New Roman" w:hAnsi="Times New Roman" w:eastAsia="宋体" w:cs="Times New Roman"/>
        <w:kern w:val="2"/>
        <w:sz w:val="28"/>
        <w:lang w:val="en-US" w:eastAsia="zh-CN" w:bidi="ar-SA"/>
      </w:rPr>
      <w:fldChar w:fldCharType="separate"/>
    </w:r>
    <w:r>
      <w:rPr>
        <w:rFonts w:ascii="Times New Roman" w:hAnsi="Times New Roman" w:eastAsia="宋体" w:cs="Times New Roman"/>
        <w:kern w:val="2"/>
        <w:sz w:val="28"/>
        <w:lang w:val="zh-CN" w:eastAsia="zh-CN" w:bidi="ar-SA"/>
      </w:rPr>
      <w:t>-</w:t>
    </w:r>
    <w:r>
      <w:rPr>
        <w:rFonts w:ascii="Times New Roman" w:hAnsi="Times New Roman" w:eastAsia="宋体" w:cs="Times New Roman"/>
        <w:kern w:val="2"/>
        <w:sz w:val="28"/>
        <w:lang w:val="en-US" w:eastAsia="zh-CN" w:bidi="ar-SA"/>
      </w:rPr>
      <w:t xml:space="preserve"> 2 -</w:t>
    </w:r>
    <w:r>
      <w:rPr>
        <w:rFonts w:ascii="Times New Roman" w:hAnsi="Times New Roman" w:eastAsia="宋体" w:cs="Times New Roman"/>
        <w:kern w:val="2"/>
        <w:sz w:val="2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L0O3bcsAgAAV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PQa5aFrd5Z&#10;HqGjeN6ujgECtrpGUToleq3QbW1l+smI7fznvo16+hs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paIyg0wAAAAcBAAAPAAAAAAAAAAEAIAAAACIAAABkcnMvZG93bnJldi54bWxQSwECFAAUAAAA&#10;CACHTuJAvQ7dtywCAABVBAAADgAAAAAAAAABACAAAAAiAQAAZHJzL2Uyb0RvYy54bWxQSwUGAAAA&#10;AAYABgBZAQAAwAU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D5291"/>
    <w:multiLevelType w:val="singleLevel"/>
    <w:tmpl w:val="044D5291"/>
    <w:lvl w:ilvl="0" w:tentative="0">
      <w:start w:val="1"/>
      <w:numFmt w:val="chineseCounting"/>
      <w:suff w:val="space"/>
      <w:lvlText w:val="第%1条"/>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1" w:cryptProviderType="rsaFull" w:cryptAlgorithmClass="hash" w:cryptAlgorithmType="typeAny" w:cryptAlgorithmSid="4" w:cryptSpinCount="0" w:hash="FtdNGlSKAKrRtUzOih1OVwfk5Aw=" w:salt="0vPew1SURwKHyUy9/R6Qt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11"/>
    <w:rsid w:val="00043F1A"/>
    <w:rsid w:val="000A295C"/>
    <w:rsid w:val="00103658"/>
    <w:rsid w:val="001A2F1F"/>
    <w:rsid w:val="00245907"/>
    <w:rsid w:val="004819FF"/>
    <w:rsid w:val="004B5567"/>
    <w:rsid w:val="005422B1"/>
    <w:rsid w:val="006B7F53"/>
    <w:rsid w:val="0072369B"/>
    <w:rsid w:val="00884D0D"/>
    <w:rsid w:val="00896C67"/>
    <w:rsid w:val="009252C7"/>
    <w:rsid w:val="00942B49"/>
    <w:rsid w:val="00987011"/>
    <w:rsid w:val="009A6324"/>
    <w:rsid w:val="00A70CAC"/>
    <w:rsid w:val="00A70CF5"/>
    <w:rsid w:val="00AE38EA"/>
    <w:rsid w:val="00B1154B"/>
    <w:rsid w:val="00B179B4"/>
    <w:rsid w:val="00B82D8C"/>
    <w:rsid w:val="00BB27EE"/>
    <w:rsid w:val="00BB4C86"/>
    <w:rsid w:val="00C31A1B"/>
    <w:rsid w:val="00C360EB"/>
    <w:rsid w:val="00D83F89"/>
    <w:rsid w:val="0CA77C64"/>
    <w:rsid w:val="2BA47B59"/>
    <w:rsid w:val="2D03414B"/>
    <w:rsid w:val="37F5139F"/>
    <w:rsid w:val="38FE3939"/>
    <w:rsid w:val="3FAC3E18"/>
    <w:rsid w:val="52851ADA"/>
    <w:rsid w:val="553156EA"/>
    <w:rsid w:val="696B71F9"/>
    <w:rsid w:val="70977A83"/>
    <w:rsid w:val="710C0882"/>
    <w:rsid w:val="747C3893"/>
    <w:rsid w:val="7F4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link w:val="9"/>
    <w:qFormat/>
    <w:uiPriority w:val="0"/>
    <w:pPr>
      <w:spacing w:line="700" w:lineRule="exact"/>
      <w:jc w:val="center"/>
    </w:pPr>
    <w:rPr>
      <w:rFonts w:ascii="Times New Roman" w:hAnsi="Times New Roman" w:eastAsia="宋体" w:cs="Times New Roman"/>
      <w:sz w:val="44"/>
      <w:szCs w:val="24"/>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字符"/>
    <w:basedOn w:val="8"/>
    <w:link w:val="3"/>
    <w:qFormat/>
    <w:uiPriority w:val="0"/>
    <w:rPr>
      <w:rFonts w:ascii="Times New Roman" w:hAnsi="Times New Roman" w:eastAsia="宋体" w:cs="Times New Roman"/>
      <w:sz w:val="44"/>
      <w:szCs w:val="24"/>
    </w:rPr>
  </w:style>
  <w:style w:type="character" w:customStyle="1" w:styleId="10">
    <w:name w:val="页脚 字符"/>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character" w:customStyle="1" w:styleId="12">
    <w:name w:val="页眉 字符"/>
    <w:basedOn w:val="8"/>
    <w:link w:val="6"/>
    <w:qFormat/>
    <w:uiPriority w:val="99"/>
    <w:rPr>
      <w:sz w:val="18"/>
      <w:szCs w:val="18"/>
    </w:rPr>
  </w:style>
  <w:style w:type="character" w:customStyle="1" w:styleId="13">
    <w:name w:val="日期 字符"/>
    <w:basedOn w:val="8"/>
    <w:link w:val="4"/>
    <w:semiHidden/>
    <w:qFormat/>
    <w:uiPriority w:val="99"/>
  </w:style>
  <w:style w:type="paragraph" w:customStyle="1" w:styleId="14">
    <w:name w:val="Table Paragraph"/>
    <w:qFormat/>
    <w:uiPriority w:val="99"/>
    <w:pPr>
      <w:widowControl w:val="0"/>
      <w:autoSpaceDE w:val="0"/>
      <w:autoSpaceDN w:val="0"/>
      <w:spacing w:before="185"/>
      <w:jc w:val="center"/>
    </w:pPr>
    <w:rPr>
      <w:rFonts w:ascii="Calibri" w:hAnsi="Calibri" w:eastAsia="宋体" w:cs="Times New Roman"/>
      <w:kern w:val="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12</Pages>
  <Words>4507</Words>
  <Characters>4738</Characters>
  <Lines>3</Lines>
  <Paragraphs>1</Paragraphs>
  <TotalTime>4</TotalTime>
  <ScaleCrop>false</ScaleCrop>
  <LinksUpToDate>false</LinksUpToDate>
  <CharactersWithSpaces>4861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2021-07-27T06:16:00Z</dcterms:created>
  <dc:creator>hp</dc:creator>
  <cp:lastModifiedBy>飞燕</cp:lastModifiedBy>
  <cp:lastPrinted>2022-03-09T02:07:00Z</cp:lastPrinted>
  <dcterms:modified xsi:type="dcterms:W3CDTF">2022-05-31T07:28:14Z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C1E82CB1D38F410DA6A1E65FFA7E6DDD</vt:lpwstr>
  </property>
</Properties>
</file>